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ascii="Times New Roman" w:hAnsi="Times New Roman" w:eastAsiaTheme="minorHAnsi"/>
          <w:b/>
        </w:rPr>
      </w:pPr>
      <w:r>
        <w:rPr>
          <w:rFonts w:ascii="Times New Roman" w:hAnsi="Times New Roman" w:eastAsiaTheme="minorHAnsi"/>
          <w:b/>
        </w:rPr>
        <w:t xml:space="preserve">   </w:t>
      </w:r>
      <w:r>
        <w:rPr>
          <w:rFonts w:ascii="Times New Roman" w:hAnsi="Times New Roman" w:eastAsiaTheme="minorHAnsi"/>
          <w:b/>
        </w:rPr>
        <w:t xml:space="preserve">                </w:t>
      </w:r>
      <w:r>
        <w:rPr>
          <w:rFonts w:ascii="Times New Roman" w:hAnsi="Times New Roman" w:eastAsiaTheme="minorHAnsi"/>
          <w:b/>
        </w:rPr>
        <w:t xml:space="preserve"> </w:t>
      </w:r>
      <w:r>
        <w:rPr>
          <w14:ligatures w14:val="standardContextual"/>
        </w:rPr>
        <w:drawing>
          <wp:inline>
            <wp:extent cx="476250" cy="560070"/>
            <wp:effectExtent xmlns:wp="http://schemas.openxmlformats.org/drawingml/2006/wordprocessingDrawing" l="0" t="0" r="0" b="0"/>
            <wp:docPr id="1" descr="C:\Users\ilija\Desktop\RAZNO\GRB.png" name="Slika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/>
          <w:b/>
        </w:rPr>
        <w:t xml:space="preserve">    </w:t>
      </w:r>
    </w:p>
    <w:p>
      <w:pPr>
        <w:spacing w:after="0" w:line="259" w:lineRule="auto"/>
        <w:rPr>
          <w:rFonts w:ascii="Times New Roman" w:hAnsi="Times New Roman" w:eastAsiaTheme="minorHAnsi"/>
          <w:b/>
        </w:rPr>
      </w:pPr>
      <w:r>
        <w:rPr>
          <w:rFonts w:ascii="Times New Roman" w:hAnsi="Times New Roman" w:eastAsiaTheme="minorHAnsi"/>
          <w:b/>
        </w:rPr>
        <w:t xml:space="preserve">  REPUBLIKA HRVATSKA</w:t>
      </w:r>
      <w:r>
        <w:rPr>
          <w:rFonts w:ascii="Times New Roman" w:hAnsi="Times New Roman" w:eastAsiaTheme="minorHAnsi"/>
          <w:b/>
        </w:rPr>
        <w:t xml:space="preserve"> </w:t>
      </w:r>
      <w:r>
        <w:rPr>
          <w:rFonts w:ascii="Times New Roman" w:hAnsi="Times New Roman" w:eastAsiaTheme="minorHAnsi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eastAsiaTheme="minorHAnsi"/>
          <w:b/>
        </w:rPr>
        <w:t xml:space="preserve">                                                                       </w:t>
      </w:r>
      <w:r>
        <w:rPr>
          <w:rFonts w:ascii="Times New Roman" w:hAnsi="Times New Roman" w:eastAsiaTheme="minorHAnsi"/>
          <w:b/>
        </w:rPr>
        <w:t xml:space="preserve">                               </w:t>
      </w:r>
      <w:r>
        <w:rPr>
          <w:rFonts w:ascii="Times New Roman" w:hAnsi="Times New Roman" w:eastAsiaTheme="minorHAnsi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eastAsiaTheme="minorHAnsi"/>
        </w:rPr>
        <w:t xml:space="preserve">                  </w:t>
      </w:r>
      <w:r>
        <w:rPr>
          <w:rFonts w:ascii="Times New Roman" w:hAnsi="Times New Roman" w:eastAsiaTheme="minorHAnsi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bookmarkStart w:id="2" w:name="_Hlk128748807"/>
            <w:r>
              <w:rPr>
                <w:rFonts w:ascii="Times New Roman" w:hAnsi="Times New Roman" w:eastAsiaTheme="minorHAnsi"/>
                <w:b/>
              </w:rPr>
              <w:t xml:space="preserve">OSNOVNA ŠKOLA SELCA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eastAsiaTheme="minorHAnsi"/>
              </w:rPr>
              <w:t xml:space="preserve">                          Šetalište Rajka Štambuka 2, 21425 Selca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eastAsiaTheme="minorHAnsi"/>
              </w:rPr>
              <w:t xml:space="preserve">KLASA:</w:t>
            </w:r>
            <w:r>
              <w:rPr>
                <w:rFonts w:ascii="Times New Roman" w:hAnsi="Times New Roman" w:eastAsiaTheme="minorHAnsi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112-02/24-01/6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eastAsiaTheme="minorHAnsi"/>
              </w:rPr>
              <w:t xml:space="preserve">                     URBROJ:</w:t>
            </w:r>
            <w:r>
              <w:rPr>
                <w:rFonts w:ascii="Times New Roman" w:hAnsi="Times New Roman" w:eastAsiaTheme="minorHAnsi"/>
              </w:rPr>
              <w:t xml:space="preserve"> </w:t>
            </w:r>
            <w:r>
              <w:rPr>
                <w:rFonts w:ascii="Times New Roman" w:hAnsi="Times New Roman" w:eastAsiaTheme="minorHAnsi"/>
              </w:rPr>
              <w:t xml:space="preserve">2181-308-01-24-1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eastAsiaTheme="minorHAnsi"/>
              </w:rPr>
              <w:t xml:space="preserve"> </w:t>
            </w:r>
            <w:r>
              <w:rPr>
                <w:rFonts w:ascii="Times New Roman" w:hAnsi="Times New Roman" w:eastAsiaTheme="minorHAnsi"/>
              </w:rPr>
              <w:t xml:space="preserve">Selca, 31. siječnja 2024.</w:t>
            </w:r>
            <w:r>
              <w:rPr>
                <w:rFonts w:ascii="Times New Roman" w:hAnsi="Times New Roman" w:eastAsiaTheme="minorHAnsi"/>
              </w:rPr>
              <w:t xml:space="preserve">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eastAsiaTheme="minorHAnsi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>
      <w:pPr>
        <w:spacing w:before="30" w:after="30" w:line="240" w:lineRule="auto"/>
        <w:ind w:firstLine="708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Temeljem članka 107. Zakona o odgoju i obrazovanju u osnovnoj i srednjoj ško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li („Narodne novine“, br. 87/08, 86/09, 92/10, 105/10, 90/11, 5/12, 16/12, 86/12, 126/12, 94/13, 152/14, 07/17,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68/18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98/19,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64/20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151/22, 156/23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), te članaka 8. i 9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. Pravilnika o postupku zapošljavanja te procjeni i vrednovanju kandidata z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a zapošljavanje u Osnovnoj školi Selca (KLASA: 003-05/19-01/1, URBROJ: 2104-34-19-01 od 16. svibnja 2019., u daljnjem tekstu: Pravilnik)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 Osnovna škola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Selca, Selca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raspisuje</w:t>
      </w:r>
    </w:p>
    <w:p>
      <w:pPr>
        <w:spacing w:before="30" w:after="30" w:line="240" w:lineRule="auto"/>
        <w:jc w:val="center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NATJEČAJ</w:t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br/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za zasnivanje radnog odnosa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 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stručni/a suradnik/</w:t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ca</w:t>
      </w:r>
      <w:r>
        <w:rPr>
          <w:rFonts w:eastAsia="Times New Roman" w:cs="Arial"/>
          <w:b/>
          <w:bCs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knjižničar/ka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1 izvršitelj/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ica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n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a neodređeno vrijeme, 20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sati tjedno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</w:t>
      </w:r>
    </w:p>
    <w:p>
      <w:p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</w:p>
    <w:p>
      <w:pPr>
        <w:spacing w:before="30" w:after="30" w:line="240" w:lineRule="auto"/>
        <w:jc w:val="both"/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Uvjeti: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Opći uvjeti za zasnivanje radnog odnosa i posebni uvjeti iz članka 105. stavka 2. Zakona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o odgoju i obrazovanju u osnovnoj i srednjoj školi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(''Narodne novine'' broj 87/08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86/09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92/10, 105/10, 90/11, 5/12, 16/12, 86/12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126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/12, 94/13, 152/14, 07/17, 68/18,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98/19,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64/20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, 151/22, 156/23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), članka 6. Pravilnika o radu Osnovne škole Selca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(KLASA: 011-04/23-04/1, URBROJ: 2181-308-01-23-01 od 30. lipnja 2023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.)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te uvjeti prema Pravilniku o odgovarajućoj vrsti obrazovanja učitelja i stručnih suradnika u osnovnoj školi (''Narodne novine'' broj 6/19 i 75/20).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Uvjeti prema članku 29. f) Pravilnika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o odgovarajućoj vrsti obrazovanja učitelja i stručnih su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radnika u osnovnoj školi su:</w:t>
      </w:r>
    </w:p>
    <w:tbl>
      <w:tblPr>
        <w:tblW w:w="9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fill="FFFFFF" w:val="clea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693"/>
        <w:gridCol w:w="3969"/>
      </w:tblGrid>
      <w:tr>
        <w:trPr/>
        <w:tc>
          <w:tcPr>
            <w:tcW w:type="dxa" w:w="264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STUDIJSKI PROGRAM</w:t>
            </w: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VRSTA I RAZINA STUDIJA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STEČENI AKADEMSKI NAZIV</w:t>
            </w:r>
          </w:p>
        </w:tc>
      </w:tr>
      <w:tr>
        <w:trPr/>
        <w:tc>
          <w:tcPr>
            <w:tcW w:type="dxa" w:w="264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Informacijske znanosti</w:t>
            </w:r>
          </w:p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i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i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smjer: Bibliotekarstvo</w:t>
            </w: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    diplomski </w:t>
            </w:r>
            <w:r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  <w:t xml:space="preserve">sveučilišni studij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    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bibliotekarstva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   magistar knjižničarstva</w:t>
            </w:r>
          </w:p>
        </w:tc>
      </w:tr>
      <w:tr>
        <w:trPr/>
        <w:tc>
          <w:tcPr>
            <w:tcW w:type="dxa" w:w="264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Informacijske znanosti – </w:t>
            </w:r>
          </w:p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knjižničarstvo</w:t>
            </w: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diplomski</w:t>
            </w:r>
            <w:r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sveučilišni studij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    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informacijskih znanosti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   magistar 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informatologije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  magistar 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informatologije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i informacijske         tehnologije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   magistar knjižničarstva</w:t>
            </w:r>
          </w:p>
        </w:tc>
      </w:tr>
      <w:tr>
        <w:trPr/>
        <w:tc>
          <w:tcPr>
            <w:tcW w:type="dxa" w:w="264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    sveučilišni </w:t>
            </w:r>
            <w:r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  <w:t xml:space="preserve">dodiplomski studij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 diplomirani bibliotekar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    </w:t>
            </w: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diplomirani knjižničar</w:t>
            </w:r>
          </w:p>
        </w:tc>
      </w:tr>
      <w:tr>
        <w:trPr/>
        <w:tc>
          <w:tcPr>
            <w:tcW w:type="dxa" w:w="264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Hrvatski jezik i književnost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i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i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smjer: knjižničarski</w:t>
            </w: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diplomski</w:t>
            </w:r>
            <w:r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  <w:t xml:space="preserve"> </w:t>
            </w:r>
            <w:r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sveučilišni studij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edukacije hrvatskoga jezika i književnosti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kroatistike</w:t>
            </w:r>
          </w:p>
        </w:tc>
      </w:tr>
      <w:tr>
        <w:trPr/>
        <w:tc>
          <w:tcPr>
            <w:tcW w:type="dxa" w:w="264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b/>
                <w:bCs/>
                <w:i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i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Kulturologija</w:t>
            </w:r>
          </w:p>
          <w:p>
            <w:pPr>
              <w:spacing w:after="0" w:line="240" w:lineRule="auto"/>
              <w:textAlignment w:val="baseline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/>
                <w:b/>
                <w:bCs/>
                <w:i/>
                <w:noProof w:val="0"/>
                <w:color w:val="000000"/>
                <w:sz w:val="20"/>
                <w:szCs w:val="20"/>
                <w:bdr w:val="none" w:color="auto" w:sz="0" w:space="0"/>
                <w:lang w:eastAsia="hr-HR"/>
              </w:rPr>
              <w:t xml:space="preserve">smjer: knjižničarstvo</w:t>
            </w: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diplomski </w:t>
            </w:r>
            <w:r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sveučilišni studij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kulturologije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uz naznaku smjera</w:t>
            </w:r>
          </w:p>
        </w:tc>
      </w:tr>
      <w:tr>
        <w:trPr/>
        <w:tc>
          <w:tcPr>
            <w:tcW w:type="dxa" w:w="264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type="dxa" w:w="26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/>
                <w:i/>
                <w:noProof w:val="0"/>
                <w:color w:val="000000"/>
                <w:sz w:val="18"/>
                <w:szCs w:val="18"/>
                <w:lang w:eastAsia="hr-HR"/>
              </w:rPr>
              <w:t xml:space="preserve">diplomsk</w:t>
            </w:r>
            <w:r>
              <w:rPr>
                <w:rFonts w:ascii="Minion Pro" w:hAnsi="Minion Pro" w:eastAsia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i sveučilišni studij</w:t>
            </w:r>
          </w:p>
        </w:tc>
        <w:tc>
          <w:tcPr>
            <w:tcW w:type="dxa" w:w="396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bibliotekarstva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knjižničarstva</w:t>
            </w:r>
          </w:p>
          <w:p>
            <w:pPr>
              <w:spacing w:after="0" w:line="240" w:lineRule="auto"/>
              <w:rPr>
                <w:rFonts w:ascii="Minion Pro" w:hAnsi="Minion Pro" w:eastAsia="Times New Roman"/>
                <w:noProof w:val="0"/>
                <w:color w:val="000000"/>
                <w:lang w:eastAsia="hr-HR"/>
              </w:rPr>
            </w:pP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magistar 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kultorologije</w:t>
            </w:r>
            <w:r>
              <w:rPr>
                <w:rFonts w:ascii="Minion Pro" w:hAnsi="Minion Pro" w:eastAsia="Times New Roman"/>
                <w:i/>
                <w:iCs/>
                <w:noProof w:val="0"/>
                <w:color w:val="000000"/>
                <w:sz w:val="18"/>
                <w:szCs w:val="18"/>
                <w:bdr w:val="none" w:color="auto" w:sz="0" w:space="0"/>
                <w:lang w:eastAsia="hr-HR"/>
              </w:rPr>
              <w:t xml:space="preserve"> - knjižničarstvo</w:t>
            </w:r>
          </w:p>
        </w:tc>
      </w:tr>
    </w:tbl>
    <w:p>
      <w:p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</w:p>
    <w:p>
      <w:pPr>
        <w:spacing w:before="30" w:after="30" w:line="240" w:lineRule="auto"/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Dokumentacija koju kandidati trebaju priložiti i d</w:t>
      </w:r>
      <w:r>
        <w:rPr>
          <w:rFonts w:eastAsia="Times New Roman" w:cs="Arial"/>
          <w:b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okazi o ispunjavanju uvjeta su:</w:t>
      </w:r>
    </w:p>
    <w:p>
      <w:pPr>
        <w:numPr>
          <w:ilvl w:val="0"/>
          <w:numId w:val="1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vlastoručno potpisana prijava u k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ojoj je kandidat dužan navesti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osobno ime, adresu stanovanja, broj telefona odnosno mobitela, e-mail adresu na koju će mu biti dostavljena obavijest o datumu, vremenu i nači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nu procjene, odnosno testiranja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i naziv radno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g mjesta na koje se prijavljuje</w:t>
      </w:r>
    </w:p>
    <w:p>
      <w:pPr>
        <w:numPr>
          <w:ilvl w:val="0"/>
          <w:numId w:val="1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životopis</w:t>
      </w:r>
    </w:p>
    <w:p>
      <w:pPr>
        <w:numPr>
          <w:ilvl w:val="0"/>
          <w:numId w:val="1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preslika diplome, odnosno dokaza o od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govarajućem stupnju obrazovanja</w:t>
      </w:r>
    </w:p>
    <w:p>
      <w:pPr>
        <w:numPr>
          <w:ilvl w:val="0"/>
          <w:numId w:val="1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dokaz o državljanstvu (preslika domovnice)</w:t>
      </w:r>
    </w:p>
    <w:p>
      <w:pPr>
        <w:numPr>
          <w:ilvl w:val="0"/>
          <w:numId w:val="1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 uvjerenje da nije pod istragom i da se protiv kandidata/kinje ne vodi kazneni postupak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glede zapreka za zasnivanje radnog odnosa iz članka 106. Zakona o odgoju i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obrazovanju u osnovnoj i srednjoj školi ne stari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je od 30 dana</w:t>
      </w:r>
    </w:p>
    <w:p>
      <w:pPr>
        <w:numPr>
          <w:ilvl w:val="0"/>
          <w:numId w:val="1"/>
        </w:num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elektronički zapis ili potvrdu o podacima evidentiranim u matičnoj evidenciji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Hrvatskog zavoda za mirovinsko osiguranje.</w:t>
      </w:r>
    </w:p>
    <w:p>
      <w:p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</w:p>
    <w:p>
      <w:p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Navedene isprave odnosno prilozi dostavljaju se u neovjerenoj preslici.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Prije sklapanja ugovora o radu odabrani/a kandidat/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kinja</w:t>
      </w: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 dužan/na je sve navedene priloge odnosno isprave dostaviti u izvorniku ili u preslici ovjerenoj od strane javnog bilježnika sukladno Zakonu o javnom bilježništvu (Narodne novine broj 78/93., 29/94., 162/98., 16/07., 75/09., 120/16.).</w:t>
      </w:r>
    </w:p>
    <w:p>
      <w:pPr>
        <w:spacing w:before="30" w:after="30" w:line="240" w:lineRule="auto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Radni odnos u Školi ne može zasnovati osoba za koju postoje zapreke iz članka 106. Zakona o odgoju i obrazovanju u osnovnoj i srednjoj školi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(„Narodne novine“, b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r. 87/08., 86/09, 92/10, 105/10, 90/11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5/12, 16/12, 86/12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126/12, 94/13, 152/14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07/17,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68/18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 98/19,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64/20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 151/22, 156/23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)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.</w:t>
      </w:r>
    </w:p>
    <w:p>
      <w:pPr>
        <w:spacing w:before="30" w:after="30" w:line="240" w:lineRule="auto"/>
        <w:jc w:val="both"/>
        <w:rPr>
          <w:rFonts w:eastAsia="Times New Roman" w:cs="Arial"/>
          <w:b/>
          <w:noProof w:val="0"/>
          <w:color w:val="333333"/>
          <w:sz w:val="24"/>
          <w:szCs w:val="24"/>
          <w:lang w:eastAsia="hr-HR"/>
        </w:rPr>
      </w:pP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Pravo prednosti prilikom zapošljavanja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moguće je ostvariti prema članku 102. Zakona o hrvatskim braniteljima iz Domovinskog rata i članovima njihovih obitelj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i ("N.N." broj: 121/17, 98/19,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84/21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 156/23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), članku 48.f  Zakona o zaštiti vojnih i civilnih invalida rata ("N.N." broj: 33/92, 77/92, 27/93, 58/93, 2/94, 76/94, 108/95, 108/96, 82/01, 103/03, 148/13) i 98/19 i članku 9. Zakona o profesionalnoj rehabilitaciji i zapošljavanju osoba s invaliditetom ("N.N." broj: 157/13, 152/14, 39/18 i 32/20), te  članku 48. Zakona o civilnim stradalnicima iz Domovinskog rata (''N.N.'' broj 84/21).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Kandidat/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kinja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koji/a ostvaruje pravo prednosti prilikom zapošljavanja prema navedenim propisima dužan/na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/>
        <w:fldChar w:fldCharType="begin"/>
      </w:r>
      <w:r>
        <w:rPr/>
        <w:instrText xml:space="preserve">HYPERLINK "https://branitelji.gov.hr/UserDocsImages//dokumenti/Nikola//popis%20dokaza%20za%20ostvarivanje%20prava%20prednosti%20pri%20zapo%C5%A1ljavanju-%20ZOHBDR%202021.pdf"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https://branitelji.gov.hr/UserDocsImages//dokumenti/Nikola//popis%20dokaza%20za%20ostvarivanje%20prava%20prednosti%20pri%20zapo%C5%A1ljavanju-%20ZOHBDR%202021.pdf</w:t>
      </w:r>
      <w:r>
        <w:rPr/>
        <w:fldChar w:fldCharType="end"/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pri zapošljavanju u skladu s člankom 48. Zakona o civilnim stradalnicima iz Domovinskog rata (Narodne novine broj  84/21)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je: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https://branitelji.gov.hr/UserDocsImages/dokumenti/Nikola/popis%20dokaza%20za%20ostvarivanje%20prava%20prednosti%20pri%20zapo%C5%A1ljavanju-%20Zakon%20o%20civilnim%20stradalnicim</w:t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a</w:t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%20i</w:t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z</w:t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%20DR.pdf</w:t>
      </w:r>
      <w:r>
        <w:rPr/>
        <w:fldChar w:fldCharType="end"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 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Urednom prijavom smatra se prijava koja sadrži sve podatke i priloge navedene u natječaju.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 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Kandidati/kandidatkinje koji su pravodobno podnijeli potpunu vlastoručnu potpisanu prijavu te ispunjavaju uvjete natječaja dužni su pristupiti procjeni odnosno testiranju sukladno odredbama Pravilnika o postupku zapošljavanja te procjeni i vrednovanju kandidata za zapošljavanje u OŠ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Selca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(nalazi se na Web stranici škole u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mapi ''Školski dokumenti''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) </w:t>
      </w:r>
      <w:r>
        <w:rPr/>
        <w:fldChar w:fldCharType="begin"/>
      </w:r>
      <w:r>
        <w:rPr/>
        <w:instrText xml:space="preserve">HYPERLINK "http://os-selca.skole.hr/upload/os-selca/images/static3/1204/attachment/Pravilnik_o_nacinu_i_postupku_zaposljavanja_te_vrednovanju_kandidata_OS_SELCA_2019.pdf" </w:instrText>
      </w:r>
      <w:r>
        <w:rPr/>
        <w:fldChar w:fldCharType="separate"/>
      </w:r>
      <w:r>
        <w:rPr>
          <w:rStyle w:val="Hiperveza"/>
          <w:rFonts w:eastAsia="Times New Roman" w:cs="Arial"/>
          <w:noProof w:val="0"/>
          <w:sz w:val="24"/>
          <w:szCs w:val="24"/>
          <w:lang w:eastAsia="hr-HR"/>
        </w:rPr>
        <w:t xml:space="preserve">http://os-selca.skole.hr/upload/os-selca/images/static3/1204/attachment/Pravilnik_o_nacinu_i_postupku_zaposljavanja_te_vrednovanju_kandidata_OS_SELCA_2019.pdf</w:t>
      </w:r>
      <w:r>
        <w:rPr/>
        <w:fldChar w:fldCharType="end"/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ukoliko se prema o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dluci Povjerenstva isto bude provodilo.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 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Način procjene odnosno testiranje kandidata ukoliko se isto bude provodilo, kao i pravni i drugi izvori za pripremu kandidata objavit će se na mrežnim stranicama škole </w:t>
      </w:r>
      <w:r>
        <w:rPr/>
        <w:fldChar w:fldCharType="begin"/>
      </w:r>
      <w:r>
        <w:rPr/>
        <w:instrText xml:space="preserve">HYPERLINK "http://os-selca.skole.hr/skola/ploca" </w:instrText>
      </w:r>
      <w:r>
        <w:rPr/>
        <w:fldChar w:fldCharType="separate"/>
      </w:r>
      <w:r>
        <w:rPr>
          <w:rStyle w:val="Hiperveza"/>
          <w:sz w:val="24"/>
          <w:szCs w:val="24"/>
        </w:rPr>
        <w:t xml:space="preserve">http://os-selca.skole.hr/skola/pl</w:t>
      </w:r>
      <w:r>
        <w:rPr>
          <w:rStyle w:val="Hiperveza"/>
          <w:sz w:val="24"/>
          <w:szCs w:val="24"/>
        </w:rPr>
        <w:t xml:space="preserve">o</w:t>
      </w:r>
      <w:r>
        <w:rPr>
          <w:rStyle w:val="Hiperveza"/>
          <w:sz w:val="24"/>
          <w:szCs w:val="24"/>
        </w:rPr>
        <w:t xml:space="preserve">ca</w:t>
      </w:r>
      <w:r>
        <w:rPr/>
        <w:fldChar w:fldCharType="end"/>
      </w:r>
      <w:r>
        <w:rPr>
          <w:sz w:val="24"/>
          <w:szCs w:val="24"/>
        </w:rPr>
        <w:t xml:space="preserve"> (u mapi Natječaji)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.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P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oziv na pristupanje procjeni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odnosno testiranju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,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putem elektroničke pošte se dostavlja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najkasnije pet dana prije dana testiranja/procjene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onim kandidatima/kandidatkinjama koji su pravodobno podnijeli potpunu vlastoručno potpisanu prijavu te ispunjavaju uvjete natječaja, odnosno Zakonske uvjete za zasnivanje radnog odnosa i objavljuje se na mrežnim stranicama škole </w:t>
      </w:r>
      <w:r>
        <w:rPr/>
        <w:fldChar w:fldCharType="begin"/>
      </w:r>
      <w:r>
        <w:rPr/>
        <w:instrText xml:space="preserve">HYPERLINK "http://os-selca.skole.hr/skola/ploca" </w:instrText>
      </w:r>
      <w:r>
        <w:rPr/>
        <w:fldChar w:fldCharType="separate"/>
      </w:r>
      <w:r>
        <w:rPr>
          <w:rStyle w:val="Hiperveza"/>
          <w:sz w:val="24"/>
          <w:szCs w:val="24"/>
        </w:rPr>
        <w:t xml:space="preserve">http://os-selca.skole.hr/skola/ploca</w:t>
      </w:r>
      <w:r>
        <w:rPr/>
        <w:fldChar w:fldCharType="end"/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Uko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liko kandidat/kandidatkinja ne pristupi procjeni odnosno testiranju smatra se da je odustao od prijave na natječaj.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Kandidat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/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kinja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koji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/a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se ne odazove bilo kojem od postupaka vrednovanja  na koji se treba odazvati, odnosno na koje je pozvan, smatrat će se da je odustao od prijave te se njegova prijava neće uzimati u obzir u daljnjem postupku.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U skladu s uredbom Europske unije 2016/679 Europskog parlamenta i Vijeća od 17. travnja 2016. godine te Zakonom o provedbi Opće uredbe o zaštiti podataka (NN 42/18) prijavom na natječaj osoba daje privolu Osnovnoj školi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Selca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za prikupljanje i obradu podataka iz natječajne dokumentacije, a sve u svrhu provedbe natječaja za zapošljavanje.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shd w:val="clear" w:color="auto" w:fill="FFFFFF"/>
          <w:lang w:eastAsia="hr-HR"/>
        </w:rPr>
        <w:t xml:space="preserve">Na natječaj se mogu javiti osobe oba spola u skladu sa Zakonom o ravnopravnosti spolova (NN broj 82/08 i 69/17). 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Nepotpune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i nepravodobne prijave neće se razmatrati.</w:t>
      </w:r>
    </w:p>
    <w:p>
      <w:pPr>
        <w:spacing w:before="30" w:after="30" w:line="240" w:lineRule="auto"/>
        <w:jc w:val="both"/>
        <w:rPr>
          <w:rFonts w:eastAsia="Times New Roman" w:cs="Arial"/>
          <w:noProof w:val="0"/>
          <w:color w:val="333333"/>
          <w:sz w:val="24"/>
          <w:szCs w:val="24"/>
          <w:lang w:eastAsia="hr-HR"/>
        </w:rPr>
      </w:pP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Kandidati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/kinje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će o rezultatima natječaja biti obaviješteni sukladno odredbama članka 23. Pravilnika o postupku zapošljavanja te procjeni i vrednovanju kandidata za zapošljavanje u Osnovnoj školi 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Selca, putem mrežne stranice školske ustanove (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 </w:t>
      </w:r>
      <w:r>
        <w:rPr/>
        <w:fldChar w:fldCharType="begin"/>
      </w:r>
      <w:r>
        <w:rPr/>
        <w:instrText xml:space="preserve">HYPERLINK "http://os-selca.skole.hr/skola/ploca" </w:instrText>
      </w:r>
      <w:r>
        <w:rPr/>
        <w:fldChar w:fldCharType="separate"/>
      </w:r>
      <w:r>
        <w:rPr>
          <w:rStyle w:val="Hiperveza"/>
          <w:sz w:val="24"/>
          <w:szCs w:val="24"/>
        </w:rPr>
        <w:t xml:space="preserve">http://os-selca.skole.hr/skola/p</w:t>
      </w:r>
      <w:r>
        <w:rPr>
          <w:rStyle w:val="Hiperveza"/>
          <w:sz w:val="24"/>
          <w:szCs w:val="24"/>
        </w:rPr>
        <w:t xml:space="preserve">l</w:t>
      </w:r>
      <w:r>
        <w:rPr>
          <w:rStyle w:val="Hiperveza"/>
          <w:sz w:val="24"/>
          <w:szCs w:val="24"/>
        </w:rPr>
        <w:t xml:space="preserve">oca</w:t>
      </w:r>
      <w:r>
        <w:rPr/>
        <w:fldChar w:fldCharType="end"/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 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), najkasnije u roku petnaest dana od dana sklapanja ugovora o radu sa odabranim/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nom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 kandidatom/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kinjom</w:t>
      </w:r>
      <w:r>
        <w:rPr>
          <w:rFonts w:eastAsia="Times New Roman" w:cs="Arial"/>
          <w:noProof w:val="0"/>
          <w:color w:val="333333"/>
          <w:sz w:val="24"/>
          <w:szCs w:val="24"/>
          <w:lang w:eastAsia="hr-HR"/>
        </w:rPr>
        <w:t xml:space="preserve">. U slučaju da se na natječaj prijave kandidati/kinje koji se pozivaju na pravo prednosti pri zapošljavanju prema posebnom propisu, svi će kandidati/kinje biti obaviješteni i prema članku 23. stavku 4. Pravilnika.</w:t>
      </w:r>
    </w:p>
    <w:p>
      <w:pPr>
        <w:spacing w:before="30" w:after="30" w:line="240" w:lineRule="auto"/>
        <w:jc w:val="both"/>
        <w:rPr>
          <w:rFonts w:ascii="Arial" w:hAnsi="Arial" w:eastAsia="Times New Roman" w:cs="Arial"/>
          <w:noProof w:val="0"/>
          <w:color w:val="333333"/>
          <w:lang w:eastAsia="hr-HR"/>
        </w:rPr>
      </w:pPr>
      <w:r>
        <w:rPr>
          <w:rFonts w:eastAsia="Times New Roman" w:cs="Arial"/>
          <w:b/>
          <w:noProof w:val="0"/>
          <w:color w:val="333333"/>
          <w:sz w:val="24"/>
          <w:szCs w:val="24"/>
          <w:lang w:eastAsia="hr-HR"/>
        </w:rPr>
        <w:t xml:space="preserve">Prijave dostaviti osobno ili zemaljskom poštom na adresu: Osnovna škola Selca, Šetalište Rajka Štambuka 2, 21425 Selca, u roku od osam dana od dana objave natječaja s naznakom „za natječaj – </w:t>
      </w:r>
      <w:r>
        <w:rPr>
          <w:rFonts w:eastAsia="Times New Roman" w:cs="Arial"/>
          <w:b/>
          <w:noProof w:val="0"/>
          <w:color w:val="333333"/>
          <w:sz w:val="24"/>
          <w:szCs w:val="24"/>
          <w:lang w:eastAsia="hr-HR"/>
        </w:rPr>
        <w:t xml:space="preserve">stručni/a suradnik/</w:t>
      </w:r>
      <w:r>
        <w:rPr>
          <w:rFonts w:eastAsia="Times New Roman" w:cs="Arial"/>
          <w:b/>
          <w:noProof w:val="0"/>
          <w:color w:val="333333"/>
          <w:sz w:val="24"/>
          <w:szCs w:val="24"/>
          <w:lang w:eastAsia="hr-HR"/>
        </w:rPr>
        <w:t xml:space="preserve">ca</w:t>
      </w:r>
      <w:r>
        <w:rPr>
          <w:rFonts w:eastAsia="Times New Roman" w:cs="Arial"/>
          <w:b/>
          <w:noProof w:val="0"/>
          <w:color w:val="333333"/>
          <w:sz w:val="24"/>
          <w:szCs w:val="24"/>
          <w:lang w:eastAsia="hr-HR"/>
        </w:rPr>
        <w:t xml:space="preserve"> knjižničar/ka</w:t>
      </w:r>
      <w:bookmarkStart w:id="3" w:name="_GoBack"/>
      <w:bookmarkEnd w:id="3"/>
      <w:r>
        <w:rPr>
          <w:rFonts w:eastAsia="Times New Roman" w:cs="Arial"/>
          <w:b/>
          <w:noProof w:val="0"/>
          <w:color w:val="333333"/>
          <w:sz w:val="24"/>
          <w:szCs w:val="24"/>
          <w:lang w:eastAsia="hr-HR"/>
        </w:rPr>
        <w:t xml:space="preserve">“.</w:t>
      </w:r>
    </w:p>
    <w:p>
      <w:pPr>
        <w:spacing w:before="30" w:after="30" w:line="240" w:lineRule="auto"/>
        <w:jc w:val="both"/>
        <w:rPr>
          <w:rFonts w:eastAsia="Times New Roman"/>
          <w:b/>
          <w:noProof w:val="0"/>
          <w:sz w:val="24"/>
          <w:szCs w:val="24"/>
          <w:lang w:eastAsia="hr-HR"/>
        </w:rPr>
      </w:pPr>
      <w:r>
        <w:rPr>
          <w:rFonts w:eastAsia="Times New Roman"/>
          <w:b/>
          <w:noProof w:val="0"/>
          <w:sz w:val="24"/>
          <w:szCs w:val="24"/>
          <w:lang w:eastAsia="hr-HR"/>
        </w:rPr>
        <w:t xml:space="preserve">___________________________________________________________________________</w:t>
      </w:r>
    </w:p>
    <w:p>
      <w:pPr>
        <w:spacing w:before="30" w:after="30" w:line="240" w:lineRule="auto"/>
        <w:rPr>
          <w:rFonts w:eastAsia="Times New Roman"/>
          <w:noProof w:val="0"/>
          <w:sz w:val="24"/>
          <w:szCs w:val="24"/>
          <w:lang w:eastAsia="hr-HR"/>
        </w:rPr>
      </w:pPr>
    </w:p>
    <w:p>
      <w:pPr>
        <w:spacing w:before="30" w:after="30" w:line="240" w:lineRule="auto"/>
        <w:rPr>
          <w:rFonts w:eastAsia="Times New Roman"/>
          <w:noProof w:val="0"/>
          <w:sz w:val="24"/>
          <w:szCs w:val="24"/>
          <w:lang w:eastAsia="hr-HR"/>
        </w:rPr>
      </w:pPr>
      <w:r>
        <w:rPr>
          <w:rFonts w:eastAsia="Times New Roman"/>
          <w:noProof w:val="0"/>
          <w:sz w:val="24"/>
          <w:szCs w:val="24"/>
          <w:lang w:eastAsia="hr-HR"/>
        </w:rPr>
        <w:t xml:space="preserve">Natječaj je objavljen na mrežnim stranicama i oglasnoj ploči Hrvatskog zavoda za zapošljavanje te mrežnim stanicam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a i oglasnoj ploči škole dana 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31.1.2024. i traje do 8.2.2024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. godine.</w:t>
      </w:r>
    </w:p>
    <w:p>
      <w:pPr>
        <w:spacing w:before="30" w:after="30" w:line="240" w:lineRule="auto"/>
        <w:rPr>
          <w:rFonts w:eastAsia="Times New Roman"/>
          <w:noProof w:val="0"/>
          <w:sz w:val="24"/>
          <w:szCs w:val="24"/>
          <w:lang w:eastAsia="hr-HR"/>
        </w:rPr>
      </w:pPr>
    </w:p>
    <w:p>
      <w:pPr>
        <w:spacing w:before="30" w:after="30" w:line="240" w:lineRule="auto"/>
        <w:jc w:val="right"/>
        <w:rPr>
          <w:rFonts w:eastAsia="Times New Roman"/>
          <w:noProof w:val="0"/>
          <w:sz w:val="24"/>
          <w:szCs w:val="24"/>
          <w:lang w:eastAsia="hr-HR"/>
        </w:rPr>
      </w:pPr>
      <w:r>
        <w:rPr>
          <w:rFonts w:eastAsia="Times New Roman"/>
          <w:noProof w:val="0"/>
          <w:sz w:val="24"/>
          <w:szCs w:val="24"/>
          <w:lang w:eastAsia="hr-HR"/>
        </w:rPr>
        <w:t xml:space="preserve">Ravnatelj:</w:t>
      </w:r>
    </w:p>
    <w:p>
      <w:pPr>
        <w:spacing w:before="30" w:after="30" w:line="240" w:lineRule="auto"/>
        <w:jc w:val="right"/>
        <w:rPr>
          <w:rFonts w:eastAsia="Times New Roman"/>
          <w:noProof w:val="0"/>
          <w:sz w:val="24"/>
          <w:szCs w:val="24"/>
          <w:lang w:eastAsia="hr-HR"/>
        </w:rPr>
      </w:pPr>
      <w:r>
        <w:rPr>
          <w:rFonts w:eastAsia="Times New Roman"/>
          <w:noProof w:val="0"/>
          <w:sz w:val="24"/>
          <w:szCs w:val="24"/>
          <w:lang w:eastAsia="hr-HR"/>
        </w:rPr>
        <w:t xml:space="preserve">Ivica 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Škrpaca</w:t>
      </w:r>
      <w:r>
        <w:rPr>
          <w:rFonts w:eastAsia="Times New Roman"/>
          <w:noProof w:val="0"/>
          <w:sz w:val="24"/>
          <w:szCs w:val="24"/>
          <w:lang w:eastAsia="hr-HR"/>
        </w:rPr>
        <w:t xml:space="preserve">, prof.</w:t>
      </w:r>
    </w:p>
    <w:p>
      <w:pPr>
        <w:spacing/>
        <w:rPr/>
      </w:pPr>
    </w:p>
    <w:sectPr>
      <w:type w:val="nextPage"/>
      <w:pgSz w:w="11907" w:h="16839"/>
      <w:pgMar w:top="1417" w:right="1417" w:bottom="709" w:left="1417" w:header="709" w:footer="709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F1943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  <w:noProof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13</TotalTime>
  <Pages>1</Pages>
  <Words>1627</Words>
  <Characters>9276</Characters>
  <Application>Microsoft Office Word</Application>
  <DocSecurity>0</DocSecurity>
  <Lines>77</Lines>
  <Paragraphs>21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2024-01-31T08:56:00Z</dcterms:created>
  <dcterms:modified xsi:type="dcterms:W3CDTF">2024-01-31T09:10:00Z</dcterms:modified>
</cp:coreProperties>
</file>