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160" w:line="259" w:lineRule="auto"/>
        <w:rPr>
          <w:rFonts w:ascii="Times New Roman" w:hAnsi="Times New Roman" w:eastAsiaTheme="minorHAnsi"/>
          <w:b/>
        </w:rPr>
      </w:pPr>
      <w:r>
        <w:rPr>
          <w:rFonts w:ascii="Times New Roman" w:hAnsi="Times New Roman" w:eastAsiaTheme="minorHAnsi"/>
          <w:b/>
        </w:rPr>
        <w:t xml:space="preserve">   </w:t>
      </w:r>
      <w:r>
        <w:rPr>
          <w:rFonts w:ascii="Times New Roman" w:hAnsi="Times New Roman" w:eastAsiaTheme="minorHAnsi"/>
          <w:b/>
        </w:rPr>
        <w:t xml:space="preserve">                </w:t>
      </w:r>
      <w:r>
        <w:rPr>
          <w:rFonts w:ascii="Times New Roman" w:hAnsi="Times New Roman" w:eastAsiaTheme="minorHAnsi"/>
          <w:b/>
        </w:rPr>
        <w:t xml:space="preserve"> </w:t>
      </w:r>
      <w:r>
        <w:rPr>
          <w:lang w:eastAsia="hr-HR"/>
          <w14:ligatures w14:val="standardContextual"/>
        </w:rPr>
        <w:drawing>
          <wp:inline>
            <wp:extent cx="476250" cy="560070"/>
            <wp:effectExtent xmlns:wp="http://schemas.openxmlformats.org/drawingml/2006/wordprocessingDrawing" l="0" t="0" r="0" b="0"/>
            <wp:docPr id="1" descr="C:\Users\ilija\Desktop\RAZNO\GRB.png" name="Slika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HAnsi"/>
          <w:b/>
        </w:rPr>
        <w:t xml:space="preserve">    </w:t>
      </w:r>
    </w:p>
    <w:p>
      <w:pPr>
        <w:spacing w:after="0" w:line="259" w:lineRule="auto"/>
        <w:rPr>
          <w:rFonts w:ascii="Times New Roman" w:hAnsi="Times New Roman" w:eastAsiaTheme="minorHAnsi"/>
          <w:b/>
        </w:rPr>
      </w:pPr>
      <w:r>
        <w:rPr>
          <w:rFonts w:ascii="Times New Roman" w:hAnsi="Times New Roman" w:eastAsiaTheme="minorHAnsi"/>
          <w:b/>
        </w:rPr>
        <w:t xml:space="preserve">  REPUBLIKA HRVATSKA</w:t>
      </w:r>
      <w:r>
        <w:rPr>
          <w:rFonts w:ascii="Times New Roman" w:hAnsi="Times New Roman" w:eastAsiaTheme="minorHAnsi"/>
          <w:b/>
        </w:rPr>
        <w:t xml:space="preserve"> </w:t>
      </w:r>
      <w:r>
        <w:rPr>
          <w:rFonts w:ascii="Times New Roman" w:hAnsi="Times New Roman" w:eastAsiaTheme="minorHAnsi"/>
          <w:b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eastAsiaTheme="minorHAnsi"/>
          <w:b/>
        </w:rPr>
        <w:t xml:space="preserve">                                                                       </w:t>
      </w:r>
      <w:r>
        <w:rPr>
          <w:rFonts w:ascii="Times New Roman" w:hAnsi="Times New Roman" w:eastAsiaTheme="minorHAnsi"/>
          <w:b/>
        </w:rPr>
        <w:t xml:space="preserve">                               </w:t>
      </w:r>
      <w:r>
        <w:rPr>
          <w:rFonts w:ascii="Times New Roman" w:hAnsi="Times New Roman" w:eastAsiaTheme="minorHAnsi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eastAsiaTheme="minorHAnsi"/>
        </w:rPr>
        <w:t xml:space="preserve">                  </w:t>
      </w:r>
      <w:r>
        <w:rPr>
          <w:rFonts w:ascii="Times New Roman" w:hAnsi="Times New Roman" w:eastAsiaTheme="minorHAnsi"/>
        </w:rPr>
        <w:t xml:space="preserve">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 w:after="160" w:line="259" w:lineRule="auto"/>
              <w:rPr>
                <w:rFonts w:ascii="Times New Roman" w:hAnsi="Times New Roman" w:eastAsiaTheme="minorHAnsi"/>
              </w:rPr>
            </w:pPr>
            <w:bookmarkStart w:id="2" w:name="_Hlk128748807"/>
            <w:r>
              <w:rPr>
                <w:rFonts w:ascii="Times New Roman" w:hAnsi="Times New Roman" w:eastAsiaTheme="minorHAnsi"/>
                <w:b/>
              </w:rPr>
              <w:t xml:space="preserve">OSNOVNA ŠKOLA SELCA</w:t>
            </w:r>
            <w:r>
              <w:rPr>
                <w:rFonts w:ascii="Times New Roman" w:hAnsi="Times New Roman" w:eastAsiaTheme="minorHAnsi"/>
              </w:rPr>
              <w:t xml:space="preserve">                                                                            </w:t>
            </w:r>
            <w:r>
              <w:rPr>
                <w:rFonts w:ascii="Times New Roman" w:hAnsi="Times New Roman" w:eastAsiaTheme="minorHAnsi"/>
              </w:rPr>
              <w:t xml:space="preserve">                          Šetalište Rajka Štambuka 2, 21425 Selca</w:t>
            </w:r>
            <w:r>
              <w:rPr>
                <w:rFonts w:ascii="Times New Roman" w:hAnsi="Times New Roman" w:eastAsiaTheme="minorHAnsi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eastAsiaTheme="minorHAnsi"/>
              </w:rPr>
              <w:t xml:space="preserve">KLASA:</w:t>
            </w:r>
            <w:r>
              <w:rPr>
                <w:rFonts w:ascii="Times New Roman" w:hAnsi="Times New Roman" w:eastAsiaTheme="minorHAnsi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 xml:space="preserve">112-02/25-01/5</w:t>
            </w:r>
            <w:r>
              <w:rPr>
                <w:rFonts w:ascii="Times New Roman" w:hAnsi="Times New Roman" w:eastAsiaTheme="minorHAnsi"/>
              </w:rPr>
              <w:t xml:space="preserve">                                                                                                                   </w:t>
            </w:r>
            <w:r>
              <w:rPr>
                <w:rFonts w:ascii="Times New Roman" w:hAnsi="Times New Roman" w:eastAsiaTheme="minorHAnsi"/>
              </w:rPr>
              <w:t xml:space="preserve">                     URBROJ:</w:t>
            </w:r>
            <w:r>
              <w:rPr>
                <w:rFonts w:ascii="Times New Roman" w:hAnsi="Times New Roman" w:eastAsiaTheme="minorHAnsi"/>
              </w:rPr>
              <w:t xml:space="preserve"> </w:t>
            </w:r>
            <w:r>
              <w:rPr>
                <w:rFonts w:ascii="Times New Roman" w:hAnsi="Times New Roman" w:eastAsiaTheme="minorHAnsi"/>
              </w:rPr>
              <w:t xml:space="preserve">2181-308-01-25-1</w:t>
            </w:r>
            <w:r>
              <w:rPr>
                <w:rFonts w:ascii="Times New Roman" w:hAnsi="Times New Roman" w:eastAsiaTheme="minorHAnsi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eastAsiaTheme="minorHAnsi"/>
              </w:rPr>
              <w:t xml:space="preserve"> Selca, </w:t>
            </w:r>
            <w:r>
              <w:rPr>
                <w:rFonts w:ascii="Times New Roman" w:hAnsi="Times New Roman" w:eastAsiaTheme="minorHAnsi"/>
              </w:rPr>
              <w:t xml:space="preserve">10. prosinca 2025.</w:t>
            </w:r>
            <w:r>
              <w:rPr>
                <w:rFonts w:ascii="Times New Roman" w:hAnsi="Times New Roman" w:eastAsiaTheme="minorHAnsi"/>
              </w:rPr>
              <w:t xml:space="preserve"> </w:t>
            </w: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jc w:val="right"/>
              <w:rPr>
                <w:rFonts w:ascii="Times New Roman" w:hAnsi="Times New Roman" w:eastAsiaTheme="minorHAnsi"/>
              </w:rPr>
            </w:pPr>
            <w:r>
              <w:rPr/>
              <w:drawing>
                <wp:inline>
                  <wp:extent cx="933580" cy="93358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2"/>
    <w:p>
      <w:pPr>
        <w:spacing w:before="30" w:after="30" w:line="240" w:lineRule="auto"/>
        <w:ind w:firstLine="708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Temeljem članka 107. Zakona o odgoju i obrazovanju u osnovnoj i srednjoj ško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li („Narodne novine“, br. 87/08, 86/09, 92/10, 105/10, 90/11, 5/12, 16/12, 86/12, 126/12, 94/13, 152/14, 07/17,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 68/18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, 98/19, 64/20, 151/22, 156/23), te članaka 8. i 9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. Pravilnika o postupku zapošljavanja te procjeni i vrednovanju kandidata z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a zapošljavanje u Osnovnoj školi Selca (KLASA: 003-05/19-01/1, URBROJ: 2104-34-19-01 od 16. svibnja 2019., u daljnjem tekstu: Pravilnik)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,  Osnovna škola 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Selca, Selca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raspisuje</w:t>
      </w:r>
    </w:p>
    <w:p>
      <w:pPr>
        <w:spacing w:before="30" w:after="30" w:line="240" w:lineRule="auto"/>
        <w:jc w:val="center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br/>
      </w:r>
      <w:r>
        <w:rPr>
          <w:rFonts w:eastAsia="Times New Roman" w:cs="Arial"/>
          <w:b/>
          <w:bCs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NATJEČAJ</w:t>
      </w:r>
      <w:r>
        <w:rPr>
          <w:rFonts w:eastAsia="Times New Roman" w:cs="Arial"/>
          <w:b/>
          <w:bCs/>
          <w:noProof w:val="0"/>
          <w:color w:val="333333"/>
          <w:sz w:val="24"/>
          <w:szCs w:val="24"/>
          <w:shd w:val="clear" w:color="auto" w:fill="FFFFFF"/>
          <w:lang w:eastAsia="hr-HR"/>
        </w:rPr>
        <w:br/>
      </w:r>
      <w:r>
        <w:rPr>
          <w:rFonts w:eastAsia="Times New Roman" w:cs="Arial"/>
          <w:b/>
          <w:bCs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za zasnivanje radnog odnosa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br/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 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br/>
      </w:r>
      <w:r>
        <w:rPr>
          <w:rFonts w:eastAsia="Times New Roman" w:cs="Arial"/>
          <w:b/>
          <w:bCs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stručni/a suradnik/</w:t>
      </w:r>
      <w:r>
        <w:rPr>
          <w:rFonts w:eastAsia="Times New Roman" w:cs="Arial"/>
          <w:b/>
          <w:bCs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ca</w:t>
      </w:r>
      <w:r>
        <w:rPr>
          <w:rFonts w:eastAsia="Times New Roman" w:cs="Arial"/>
          <w:b/>
          <w:bCs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 knjižničar/ka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, 1 izvršitelj/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ica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, n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a neodređeno vrijeme, 20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 sati tjedno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,</w:t>
      </w:r>
    </w:p>
    <w:p>
      <w:pPr>
        <w:spacing w:before="30" w:after="30" w:line="240" w:lineRule="auto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</w:p>
    <w:p>
      <w:pPr>
        <w:spacing w:before="30" w:after="30" w:line="240" w:lineRule="auto"/>
        <w:jc w:val="both"/>
        <w:rPr>
          <w:rFonts w:eastAsia="Times New Roman" w:cs="Arial"/>
          <w:b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="Arial"/>
          <w:b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Uvjeti:</w:t>
      </w: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Opći uvjeti za zasnivanje radnog odnosa i posebni uvjeti iz članka 105. stavka 2. Zakona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 o odgoju i obrazovanju u osnovnoj i srednjoj školi 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(''Narodne novine'' broj 87/08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,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 86/09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,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 92/10, 105/10, 90/11, 5/12, 16/12, 86/12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,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126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/12, 94/13, 152/14, 07/17, 68/18, 98/19, 64/20, 151/22, 156/23), član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a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ka 6.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 i 7.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 Pravilnika o radu Osnovne škole Selca (KLASA: 011-04/23-04/1, URBROJ: 2181-308-01-23-01 od 30. lipnja 2023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.)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 te uvjeti prema Pravilniku o odgovarajućoj vrsti obrazovanja učitelja i stručnih suradnika u osnovnoj školi (''Narodne novine'' broj 6/19 i 75/20).</w:t>
      </w: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Uvjeti prema članku 29. f) Pravilnika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 o odgovarajućoj vrsti obrazovanja učitelja i stručnih su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radnika u osnovnoj školi su:</w:t>
      </w:r>
    </w:p>
    <w:tbl>
      <w:tblPr>
        <w:tblW w:w="93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fill="FFFFFF" w:val="clea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8"/>
        <w:gridCol w:w="2693"/>
        <w:gridCol w:w="3969"/>
      </w:tblGrid>
      <w:tr>
        <w:trPr/>
        <w:tc>
          <w:tcPr>
            <w:tcW w:type="dxa" w:w="264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  <w:r>
              <w:rPr>
                <w:rFonts w:ascii="Minion Pro" w:hAnsi="Minion Pro" w:eastAsia="Times New Roman"/>
                <w:b/>
                <w:b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STUDIJSKI PROGRAM</w:t>
            </w:r>
          </w:p>
        </w:tc>
        <w:tc>
          <w:tcPr>
            <w:tcW w:type="dxa" w:w="269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  <w:r>
              <w:rPr>
                <w:rFonts w:ascii="Minion Pro" w:hAnsi="Minion Pro" w:eastAsia="Times New Roman"/>
                <w:b/>
                <w:b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VRSTA I RAZINA STUDIJA</w:t>
            </w:r>
          </w:p>
        </w:tc>
        <w:tc>
          <w:tcPr>
            <w:tcW w:type="dxa" w:w="396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  <w:r>
              <w:rPr>
                <w:rFonts w:ascii="Minion Pro" w:hAnsi="Minion Pro" w:eastAsia="Times New Roman"/>
                <w:b/>
                <w:b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STEČENI AKADEMSKI NAZIV</w:t>
            </w:r>
          </w:p>
        </w:tc>
      </w:tr>
      <w:tr>
        <w:trPr/>
        <w:tc>
          <w:tcPr>
            <w:tcW w:type="dxa" w:w="264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textAlignment w:val="baseline"/>
              <w:rPr>
                <w:rFonts w:ascii="Minion Pro" w:hAnsi="Minion Pro" w:eastAsia="Times New Roman"/>
                <w:b/>
                <w:bCs/>
                <w:noProof w:val="0"/>
                <w:color w:val="000000"/>
                <w:sz w:val="20"/>
                <w:szCs w:val="20"/>
                <w:bdr w:val="none" w:color="auto" w:sz="0" w:space="0"/>
                <w:lang w:eastAsia="hr-HR"/>
              </w:rPr>
            </w:pPr>
            <w:r>
              <w:rPr>
                <w:rFonts w:ascii="Minion Pro" w:hAnsi="Minion Pro" w:eastAsia="Times New Roman"/>
                <w:b/>
                <w:bCs/>
                <w:noProof w:val="0"/>
                <w:color w:val="000000"/>
                <w:sz w:val="20"/>
                <w:szCs w:val="20"/>
                <w:bdr w:val="none" w:color="auto" w:sz="0" w:space="0"/>
                <w:lang w:eastAsia="hr-HR"/>
              </w:rPr>
              <w:t xml:space="preserve">Informacijske znanosti</w:t>
            </w:r>
          </w:p>
          <w:p>
            <w:pPr>
              <w:spacing w:after="0" w:line="240" w:lineRule="auto"/>
              <w:textAlignment w:val="baseline"/>
              <w:rPr>
                <w:rFonts w:ascii="Minion Pro" w:hAnsi="Minion Pro" w:eastAsia="Times New Roman"/>
                <w:i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hAnsi="Minion Pro" w:eastAsia="Times New Roman"/>
                <w:b/>
                <w:bCs/>
                <w:i/>
                <w:noProof w:val="0"/>
                <w:color w:val="000000"/>
                <w:sz w:val="20"/>
                <w:szCs w:val="20"/>
                <w:bdr w:val="none" w:color="auto" w:sz="0" w:space="0"/>
                <w:lang w:eastAsia="hr-HR"/>
              </w:rPr>
              <w:t xml:space="preserve">smjer: Bibliotekarstvo</w:t>
            </w:r>
          </w:p>
        </w:tc>
        <w:tc>
          <w:tcPr>
            <w:tcW w:type="dxa" w:w="269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    diplomski </w:t>
            </w:r>
            <w:r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  <w:t xml:space="preserve">sveučilišni studij</w:t>
            </w:r>
          </w:p>
        </w:tc>
        <w:tc>
          <w:tcPr>
            <w:tcW w:type="dxa" w:w="396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</w:pP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    </w:t>
            </w: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magistar bibliotekarstva</w:t>
            </w:r>
          </w:p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    magistar knjižničarstva</w:t>
            </w:r>
          </w:p>
        </w:tc>
      </w:tr>
      <w:tr>
        <w:trPr/>
        <w:tc>
          <w:tcPr>
            <w:tcW w:type="dxa" w:w="2648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textAlignment w:val="baseline"/>
              <w:rPr>
                <w:rFonts w:ascii="Minion Pro" w:hAnsi="Minion Pro" w:eastAsia="Times New Roman"/>
                <w:b/>
                <w:bCs/>
                <w:noProof w:val="0"/>
                <w:color w:val="000000"/>
                <w:sz w:val="20"/>
                <w:szCs w:val="20"/>
                <w:bdr w:val="none" w:color="auto" w:sz="0" w:space="0"/>
                <w:lang w:eastAsia="hr-HR"/>
              </w:rPr>
            </w:pPr>
            <w:r>
              <w:rPr>
                <w:rFonts w:ascii="Minion Pro" w:hAnsi="Minion Pro" w:eastAsia="Times New Roman"/>
                <w:b/>
                <w:bCs/>
                <w:noProof w:val="0"/>
                <w:color w:val="000000"/>
                <w:sz w:val="20"/>
                <w:szCs w:val="20"/>
                <w:bdr w:val="none" w:color="auto" w:sz="0" w:space="0"/>
                <w:lang w:eastAsia="hr-HR"/>
              </w:rPr>
              <w:t xml:space="preserve">Informacijske znanosti – </w:t>
            </w:r>
          </w:p>
          <w:p>
            <w:pPr>
              <w:spacing w:after="0" w:line="240" w:lineRule="auto"/>
              <w:textAlignment w:val="baseline"/>
              <w:rPr>
                <w:rFonts w:ascii="Minion Pro" w:hAnsi="Minion Pro" w:eastAsia="Times New Roman"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hAnsi="Minion Pro" w:eastAsia="Times New Roman"/>
                <w:b/>
                <w:bCs/>
                <w:noProof w:val="0"/>
                <w:color w:val="000000"/>
                <w:sz w:val="20"/>
                <w:szCs w:val="20"/>
                <w:bdr w:val="none" w:color="auto" w:sz="0" w:space="0"/>
                <w:lang w:eastAsia="hr-HR"/>
              </w:rPr>
              <w:t xml:space="preserve">knjižničarstvo</w:t>
            </w:r>
          </w:p>
        </w:tc>
        <w:tc>
          <w:tcPr>
            <w:tcW w:type="dxa" w:w="269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textAlignment w:val="baseline"/>
              <w:rPr>
                <w:rFonts w:ascii="Minion Pro" w:hAnsi="Minion Pro" w:eastAsia="Times New Roman"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hAnsi="Minion Pro" w:eastAsia="Times New Roman"/>
                <w:noProof w:val="0"/>
                <w:color w:val="000000"/>
                <w:sz w:val="18"/>
                <w:szCs w:val="18"/>
                <w:lang w:eastAsia="hr-HR"/>
              </w:rPr>
              <w:t xml:space="preserve">   </w:t>
            </w:r>
            <w:r>
              <w:rPr>
                <w:rFonts w:ascii="Minion Pro" w:hAnsi="Minion Pro" w:eastAsia="Times New Roman"/>
                <w:i/>
                <w:noProof w:val="0"/>
                <w:color w:val="000000"/>
                <w:sz w:val="18"/>
                <w:szCs w:val="18"/>
                <w:lang w:eastAsia="hr-HR"/>
              </w:rPr>
              <w:t xml:space="preserve">diplomski</w:t>
            </w:r>
            <w:r>
              <w:rPr>
                <w:rFonts w:ascii="Minion Pro" w:hAnsi="Minion Pro" w:eastAsia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 sveučilišni studij</w:t>
            </w:r>
          </w:p>
        </w:tc>
        <w:tc>
          <w:tcPr>
            <w:tcW w:type="dxa" w:w="396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</w:pP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    </w:t>
            </w: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magistar informacijskih znanosti</w:t>
            </w:r>
          </w:p>
          <w:p>
            <w:pPr>
              <w:spacing w:after="0" w:line="240" w:lineRule="auto"/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</w:pP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    magistar </w:t>
            </w: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informatologije</w:t>
            </w: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 </w:t>
            </w:r>
          </w:p>
          <w:p>
            <w:pPr>
              <w:spacing w:after="0" w:line="240" w:lineRule="auto"/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</w:pP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   magistar </w:t>
            </w: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informatologije</w:t>
            </w: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 i informacijske         tehnologije</w:t>
            </w:r>
          </w:p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    magistar knjižničarstva</w:t>
            </w:r>
          </w:p>
        </w:tc>
      </w:tr>
      <w:tr>
        <w:trPr/>
        <w:tc>
          <w:tcPr>
            <w:tcW w:type="dxa" w:w="2648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type="dxa" w:w="269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    sveučilišni </w:t>
            </w:r>
            <w:r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  <w:t xml:space="preserve">dodiplomski studij</w:t>
            </w:r>
          </w:p>
        </w:tc>
        <w:tc>
          <w:tcPr>
            <w:tcW w:type="dxa" w:w="396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/>
                <w:i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/>
                <w:i/>
                <w:noProof w:val="0"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Minion Pro" w:hAnsi="Minion Pro" w:eastAsia="Times New Roman"/>
                <w:i/>
                <w:noProof w:val="0"/>
                <w:color w:val="000000"/>
                <w:sz w:val="18"/>
                <w:szCs w:val="18"/>
                <w:lang w:eastAsia="hr-HR"/>
              </w:rPr>
              <w:t xml:space="preserve">  </w:t>
            </w:r>
            <w:r>
              <w:rPr>
                <w:rFonts w:ascii="Minion Pro" w:hAnsi="Minion Pro" w:eastAsia="Times New Roman"/>
                <w:i/>
                <w:noProof w:val="0"/>
                <w:color w:val="000000"/>
                <w:sz w:val="18"/>
                <w:szCs w:val="18"/>
                <w:lang w:eastAsia="hr-HR"/>
              </w:rPr>
              <w:t xml:space="preserve"> diplomirani bibliotekar</w:t>
            </w:r>
          </w:p>
          <w:p>
            <w:pPr>
              <w:spacing w:after="0" w:line="240" w:lineRule="auto"/>
              <w:rPr>
                <w:rFonts w:ascii="Minion Pro" w:hAnsi="Minion Pro" w:eastAsia="Times New Roman"/>
                <w:i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/>
                <w:i/>
                <w:noProof w:val="0"/>
                <w:color w:val="000000"/>
                <w:sz w:val="18"/>
                <w:szCs w:val="18"/>
                <w:lang w:eastAsia="hr-HR"/>
              </w:rPr>
              <w:t xml:space="preserve">    </w:t>
            </w:r>
            <w:r>
              <w:rPr>
                <w:rFonts w:ascii="Minion Pro" w:hAnsi="Minion Pro" w:eastAsia="Times New Roman"/>
                <w:i/>
                <w:noProof w:val="0"/>
                <w:color w:val="000000"/>
                <w:sz w:val="18"/>
                <w:szCs w:val="18"/>
                <w:lang w:eastAsia="hr-HR"/>
              </w:rPr>
              <w:t xml:space="preserve">diplomirani knjižničar</w:t>
            </w:r>
          </w:p>
        </w:tc>
      </w:tr>
      <w:tr>
        <w:trPr/>
        <w:tc>
          <w:tcPr>
            <w:tcW w:type="dxa" w:w="264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/>
                <w:b/>
                <w:bCs/>
                <w:noProof w:val="0"/>
                <w:color w:val="000000"/>
                <w:sz w:val="20"/>
                <w:szCs w:val="20"/>
                <w:bdr w:val="none" w:color="auto" w:sz="0" w:space="0"/>
                <w:lang w:eastAsia="hr-HR"/>
              </w:rPr>
            </w:pPr>
            <w:r>
              <w:rPr>
                <w:rFonts w:ascii="Minion Pro" w:hAnsi="Minion Pro" w:eastAsia="Times New Roman"/>
                <w:b/>
                <w:bCs/>
                <w:noProof w:val="0"/>
                <w:color w:val="000000"/>
                <w:sz w:val="20"/>
                <w:szCs w:val="20"/>
                <w:bdr w:val="none" w:color="auto" w:sz="0" w:space="0"/>
                <w:lang w:eastAsia="hr-HR"/>
              </w:rPr>
              <w:t xml:space="preserve">Hrvatski jezik i književnost</w:t>
            </w:r>
          </w:p>
          <w:p>
            <w:pPr>
              <w:spacing w:after="0" w:line="240" w:lineRule="auto"/>
              <w:rPr>
                <w:rFonts w:ascii="Minion Pro" w:hAnsi="Minion Pro" w:eastAsia="Times New Roman"/>
                <w:i/>
                <w:noProof w:val="0"/>
                <w:color w:val="000000"/>
                <w:lang w:eastAsia="hr-HR"/>
              </w:rPr>
            </w:pPr>
            <w:r>
              <w:rPr>
                <w:rFonts w:ascii="Minion Pro" w:hAnsi="Minion Pro" w:eastAsia="Times New Roman"/>
                <w:b/>
                <w:bCs/>
                <w:i/>
                <w:noProof w:val="0"/>
                <w:color w:val="000000"/>
                <w:sz w:val="20"/>
                <w:szCs w:val="20"/>
                <w:bdr w:val="none" w:color="auto" w:sz="0" w:space="0"/>
                <w:lang w:eastAsia="hr-HR"/>
              </w:rPr>
              <w:t xml:space="preserve">smjer: knjižničarski</w:t>
            </w:r>
          </w:p>
        </w:tc>
        <w:tc>
          <w:tcPr>
            <w:tcW w:type="dxa" w:w="269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  <w:r>
              <w:rPr>
                <w:rFonts w:ascii="Minion Pro" w:hAnsi="Minion Pro" w:eastAsia="Times New Roman"/>
                <w:i/>
                <w:noProof w:val="0"/>
                <w:color w:val="000000"/>
                <w:sz w:val="18"/>
                <w:szCs w:val="18"/>
                <w:lang w:eastAsia="hr-HR"/>
              </w:rPr>
              <w:t xml:space="preserve">diplomski</w:t>
            </w:r>
            <w:r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  <w:t xml:space="preserve"> </w:t>
            </w:r>
            <w:r>
              <w:rPr>
                <w:rFonts w:ascii="Minion Pro" w:hAnsi="Minion Pro" w:eastAsia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sveučilišni studij</w:t>
            </w:r>
          </w:p>
        </w:tc>
        <w:tc>
          <w:tcPr>
            <w:tcW w:type="dxa" w:w="396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</w:pP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magistar edukacije hrvatskoga jezika i književnosti</w:t>
            </w:r>
          </w:p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magistar kroatistike</w:t>
            </w:r>
          </w:p>
        </w:tc>
      </w:tr>
      <w:tr>
        <w:trPr/>
        <w:tc>
          <w:tcPr>
            <w:tcW w:type="dxa" w:w="2648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textAlignment w:val="baseline"/>
              <w:rPr>
                <w:rFonts w:ascii="Minion Pro" w:hAnsi="Minion Pro" w:eastAsia="Times New Roman"/>
                <w:b/>
                <w:bCs/>
                <w:i/>
                <w:noProof w:val="0"/>
                <w:color w:val="000000"/>
                <w:sz w:val="20"/>
                <w:szCs w:val="20"/>
                <w:bdr w:val="none" w:color="auto" w:sz="0" w:space="0"/>
                <w:lang w:eastAsia="hr-HR"/>
              </w:rPr>
            </w:pPr>
            <w:r>
              <w:rPr>
                <w:rFonts w:ascii="Minion Pro" w:hAnsi="Minion Pro" w:eastAsia="Times New Roman"/>
                <w:b/>
                <w:bCs/>
                <w:i/>
                <w:noProof w:val="0"/>
                <w:color w:val="000000"/>
                <w:sz w:val="20"/>
                <w:szCs w:val="20"/>
                <w:bdr w:val="none" w:color="auto" w:sz="0" w:space="0"/>
                <w:lang w:eastAsia="hr-HR"/>
              </w:rPr>
              <w:t xml:space="preserve">Kulturologija</w:t>
            </w:r>
          </w:p>
          <w:p>
            <w:pPr>
              <w:spacing w:after="0" w:line="240" w:lineRule="auto"/>
              <w:textAlignment w:val="baseline"/>
              <w:rPr>
                <w:rFonts w:ascii="Minion Pro" w:hAnsi="Minion Pro" w:eastAsia="Times New Roman"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hAnsi="Minion Pro" w:eastAsia="Times New Roman"/>
                <w:b/>
                <w:bCs/>
                <w:i/>
                <w:noProof w:val="0"/>
                <w:color w:val="000000"/>
                <w:sz w:val="20"/>
                <w:szCs w:val="20"/>
                <w:bdr w:val="none" w:color="auto" w:sz="0" w:space="0"/>
                <w:lang w:eastAsia="hr-HR"/>
              </w:rPr>
              <w:t xml:space="preserve">smjer: knjižničarstvo</w:t>
            </w:r>
          </w:p>
        </w:tc>
        <w:tc>
          <w:tcPr>
            <w:tcW w:type="dxa" w:w="269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hAnsi="Minion Pro" w:eastAsia="Times New Roman"/>
                <w:i/>
                <w:noProof w:val="0"/>
                <w:color w:val="000000"/>
                <w:sz w:val="18"/>
                <w:szCs w:val="18"/>
                <w:lang w:eastAsia="hr-HR"/>
              </w:rPr>
              <w:t xml:space="preserve">diplomski </w:t>
            </w:r>
            <w:r>
              <w:rPr>
                <w:rFonts w:ascii="Minion Pro" w:hAnsi="Minion Pro" w:eastAsia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sveučilišni studij</w:t>
            </w:r>
          </w:p>
        </w:tc>
        <w:tc>
          <w:tcPr>
            <w:tcW w:type="dxa" w:w="396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magistar </w:t>
            </w: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kulturologije</w:t>
            </w: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 uz naznaku smjera</w:t>
            </w:r>
          </w:p>
        </w:tc>
      </w:tr>
      <w:tr>
        <w:trPr/>
        <w:tc>
          <w:tcPr>
            <w:tcW w:type="dxa" w:w="2648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type="dxa" w:w="269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hAnsi="Minion Pro" w:eastAsia="Times New Roman"/>
                <w:i/>
                <w:noProof w:val="0"/>
                <w:color w:val="000000"/>
                <w:sz w:val="18"/>
                <w:szCs w:val="18"/>
                <w:lang w:eastAsia="hr-HR"/>
              </w:rPr>
              <w:t xml:space="preserve">diplomsk</w:t>
            </w:r>
            <w:r>
              <w:rPr>
                <w:rFonts w:ascii="Minion Pro" w:hAnsi="Minion Pro" w:eastAsia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i sveučilišni studij</w:t>
            </w:r>
          </w:p>
        </w:tc>
        <w:tc>
          <w:tcPr>
            <w:tcW w:type="dxa" w:w="396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</w:pP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magistar bibliotekarstva</w:t>
            </w:r>
          </w:p>
          <w:p>
            <w:pPr>
              <w:spacing w:after="0" w:line="240" w:lineRule="auto"/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</w:pP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magistar knjižničarstva</w:t>
            </w:r>
          </w:p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magistar </w:t>
            </w: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kultorologije</w:t>
            </w: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 - knjižničarstvo</w:t>
            </w:r>
          </w:p>
        </w:tc>
      </w:tr>
    </w:tbl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sz w:val="24"/>
          <w:szCs w:val="24"/>
        </w:rPr>
        <w:t xml:space="preserve">Dokumentacija koju kandidati trebaju priložiti i dokazi o ispunjavanju uvjeta su:</w:t>
      </w:r>
    </w:p>
    <w:p>
      <w:pPr>
        <w:numPr>
          <w:ilvl w:val="0"/>
          <w:numId w:val="1"/>
        </w:numPr>
        <w:spacing w:before="30" w:after="30" w:line="240" w:lineRule="auto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vlastoručno potpisana prijava u kojoj je kandidat dužan navesti osobno ime, adresu stanovanja, broj telefona odnosno mobitela, e-mail adresu na koju će mu biti dostavljena obavijest o datumu, vremenu i načinu procjene, odnosno testiranja i naziv radnog mjesta na koje se prijavljuje</w:t>
      </w:r>
    </w:p>
    <w:p>
      <w:pPr>
        <w:numPr>
          <w:ilvl w:val="0"/>
          <w:numId w:val="1"/>
        </w:numPr>
        <w:spacing w:before="30" w:after="30" w:line="240" w:lineRule="auto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životopis</w:t>
      </w:r>
    </w:p>
    <w:p>
      <w:pPr>
        <w:numPr>
          <w:ilvl w:val="0"/>
          <w:numId w:val="1"/>
        </w:numPr>
        <w:spacing w:before="30" w:after="30" w:line="240" w:lineRule="auto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preslika diplome, odnosno dokaza o odgovarajućem stupnju obrazovanja</w:t>
      </w:r>
    </w:p>
    <w:p>
      <w:pPr>
        <w:numPr>
          <w:ilvl w:val="0"/>
          <w:numId w:val="1"/>
        </w:numPr>
        <w:spacing w:before="30" w:after="30" w:line="240" w:lineRule="auto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dokaz o državljanstvu (preslika domovnice)</w:t>
      </w:r>
    </w:p>
    <w:p>
      <w:pPr>
        <w:numPr>
          <w:ilvl w:val="0"/>
          <w:numId w:val="1"/>
        </w:numPr>
        <w:spacing w:after="0"/>
        <w:ind w:left="714" w:hanging="357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uvjerenje nadležnog suda da podnositelj prijave nije pod istragom i da se protiv podnositelja prijave ne vodi kazneni postupak glede zapreka za zasnivanje radnog odnosa iz članka 106. Zakona s naznakom roka izdavanja, ne starije od dana raspisivanja natječaja</w:t>
      </w:r>
    </w:p>
    <w:p>
      <w:pPr>
        <w:numPr>
          <w:ilvl w:val="0"/>
          <w:numId w:val="1"/>
        </w:numPr>
        <w:spacing w:after="0"/>
        <w:ind w:left="714" w:hanging="357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dokaz o ukupnom radnom iskustvu: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 </w:t>
      </w:r>
    </w:p>
    <w:p>
      <w:pPr>
        <w:pStyle w:val="Odlomakpopisa"/>
        <w:spacing w:after="0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a) elektronički zapis ili potvrdu o podacima evidentiranim u bazi podataka Hrvatskog zavoda za mirovinsko osiguranje ili</w:t>
      </w:r>
    </w:p>
    <w:p>
      <w:pPr>
        <w:pStyle w:val="Odlomakpopisa"/>
        <w:spacing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b) ugovor o radu ili rješenje o rasporedu ili potvrdu poslodavca o radnom iskustvu na odgovarajućim poslovima koji mora sadržavati vrstu poslova koju je obavljao, u kojoj stručnoj spremi i vremensko razdoblje u kojem je kandidat obavljao navedene poslova.</w:t>
      </w:r>
    </w:p>
    <w:p>
      <w:pPr>
        <w:spacing w:after="0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Navedene isprave odnosno prilozi dostavljaju se u neovjerenoj preslici. Prije sklapanja ugovora o radu odabrani/a kandidat/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kinja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 dužan/na je sve navedene priloge odnosno isprave dostaviti u izvorniku ili u preslici ovjerenoj od strane javnog bilježnika sukladno Zakonu o javnom bilježništvu (Narodne novine broj 78/93, 29/94, 162/98, 16/07, 75/09, 120/16 i 57/22).</w:t>
      </w:r>
    </w:p>
    <w:p>
      <w:pPr>
        <w:spacing w:before="30" w:after="30" w:line="240" w:lineRule="auto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Radni odnos u Školi ne može zasnovati osoba za koju postoje zapreke iz članka 106. Zakona o odgoju i obrazovanju u osnovnoj i srednjoj školi („Narodne novine“, br. 87/08., 86/09, 92/10, 105/10, 90/11, 5/12, 16/12, 86/12, 126/12, 94/13, 152/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14, 07/17, 68/18, 98/19, 64/20,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 151/22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 i 156/23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).</w:t>
      </w:r>
    </w:p>
    <w:p>
      <w:pPr>
        <w:spacing w:before="30" w:after="30" w:line="240" w:lineRule="auto"/>
        <w:jc w:val="both"/>
        <w:rPr>
          <w:rFonts w:eastAsia="Times New Roman" w:cs="Arial"/>
          <w:b/>
          <w:noProof w:val="0"/>
          <w:color w:val="333333"/>
          <w:sz w:val="24"/>
          <w:szCs w:val="24"/>
          <w:lang w:eastAsia="hr-HR"/>
        </w:rPr>
      </w:pP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Osobe koje se pozivaju na pravo prednosti sukladno članku 102. Zakona o hrvatskim braniteljima iz Domovinskog rata i članovima njihovih obitelji (Narodne novine 121/17, 98/19, 84/21,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84/21), dužne su u prijavi na javni natječaj pozvati se na to pravo i uz prijavu priložiti svu propisanu dokumentaciju prema posebnom zakonu, a  imaju prednost u odnosu na ostale kandidate samo pod jednakim uvjetima.</w:t>
      </w: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Popis potrebnih dokaza radi ostvarivanja prava prednosti prilikom zapošljavanja prema Zakonu o hrvatskim braniteljima iz Domovinskog rata i članovima njihovih obitelji dostupni su na poveznici Ministarstva hrvatskih branitelja:</w:t>
      </w: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  <w:r>
        <w:rPr/>
        <w:fldChar w:fldCharType="begin"/>
      </w:r>
      <w:r>
        <w:rPr/>
        <w:instrText xml:space="preserve">HYPERLINK "https://branitelji.gov.hr/UserDocsImages//dokumenti/Nikola//popis%20dokaza%20za%20ostvarivanje%20prava%20prednosti%20pri%20zapo%C5%A1ljavanju-%20ZOHBDR%202021.pdf" </w:instrText>
      </w:r>
      <w:r>
        <w:rPr/>
        <w:fldChar w:fldCharType="separate"/>
      </w:r>
      <w:r>
        <w:rPr>
          <w:rFonts w:eastAsia="Times New Roman" w:cs="Arial"/>
          <w:noProof w:val="0"/>
          <w:color w:val="0000FF"/>
          <w:sz w:val="24"/>
          <w:szCs w:val="24"/>
          <w:u w:val="single"/>
          <w:lang w:eastAsia="hr-HR"/>
        </w:rPr>
        <w:t xml:space="preserve">https://branitelji.gov.hr/UserDocsImages//dokumenti/Nikola//popis%20dokaza%20za%20ostvarivanje%20prava%20prednosti%20pri%20zapo%C5%A1ljavanju-%20ZOHBDR%202021.pdf</w:t>
      </w:r>
      <w:r>
        <w:rPr/>
        <w:fldChar w:fldCharType="end"/>
      </w: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Poveznica na internetsku stranicu Ministarstva hrvatskih branitelja s popisom dokaza potrebnih za ostvarivanja prava prednosti pri zapošljavanju u skladu s člankom 48. Zakona o civilnim stradalnicima iz Domovinskog rata (Narodne novine broj  84/21) je:</w:t>
      </w: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Fonts w:eastAsia="Times New Roman" w:cs="Arial"/>
          <w:noProof w:val="0"/>
          <w:color w:val="0000FF"/>
          <w:sz w:val="24"/>
          <w:szCs w:val="24"/>
          <w:u w:val="single"/>
          <w:lang w:eastAsia="hr-HR"/>
        </w:rPr>
        <w:t xml:space="preserve">https://branitelji.gov.hr/UserDocsImages/dokumenti/Nikola/popis%20dokaza%20za%20ostvarivanje%20prava%20prednosti%20pri%20zapo%C5%A1ljavanju-%20Zakon%20o%20civilnim%20stradalnicima%20iz%20DR.pdf</w:t>
      </w:r>
      <w:r>
        <w:rPr/>
        <w:fldChar w:fldCharType="end"/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 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br/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 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br/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Urednom prijavom smatra se prijava koja sadrži sve podatke i priloge navedene u natječaju.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br/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 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br/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Kandidati/kandidatkinje koji su pravodobno podnijeli potpunu vlastoručnu potpisanu prijavu te ispunjavaju uvjete natječaja dužni su pristupiti procjeni odnosno testiranju sukladno odredbama Pravilnika o postupku zapošljavanja te procjeni i vrednovanju kandidata za zapošljavanje u OŠ Selca (nalazi se na Web s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tranici škole u mapi ''D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okumenti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 – Opći akti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''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 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(</w:t>
      </w:r>
      <w:r>
        <w:rPr/>
        <w:fldChar w:fldCharType="begin"/>
      </w:r>
      <w:r>
        <w:rPr/>
        <w:instrText xml:space="preserve">HYPERLINK "https://os-selca.skole.hr/opci-akti/" </w:instrText>
      </w:r>
      <w:r>
        <w:rPr/>
        <w:fldChar w:fldCharType="separate"/>
      </w:r>
      <w:r>
        <w:rPr>
          <w:rStyle w:val="Hiperveza"/>
          <w:rFonts w:eastAsia="Times New Roman" w:cs="Arial"/>
          <w:noProof w:val="0"/>
          <w:sz w:val="24"/>
          <w:szCs w:val="24"/>
          <w:lang w:eastAsia="hr-HR"/>
        </w:rPr>
        <w:t xml:space="preserve">https://os-selca.skole.hr/opci-akti/</w:t>
      </w:r>
      <w:r>
        <w:rPr/>
        <w:fldChar w:fldCharType="end"/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) 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ukoliko se prema odluci Povjerenstva isto bude provodilo.</w:t>
      </w: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 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br/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Način procjene odnosno testiranje kandidata ukoliko se isto bude provodilo, kao i pravni i drugi izvori za pripremu kandidata objavit će se na mrežnim stranicama škole </w:t>
      </w:r>
      <w:r>
        <w:rPr/>
        <w:fldChar w:fldCharType="begin"/>
      </w:r>
      <w:r>
        <w:rPr/>
        <w:instrText xml:space="preserve">HYPERLINK "https://os-selca.skole.hr/natjecaj-za-radna-mjesta/" </w:instrText>
      </w:r>
      <w:r>
        <w:rPr/>
        <w:fldChar w:fldCharType="separate"/>
      </w:r>
      <w:r>
        <w:rPr>
          <w:rStyle w:val="Hiperveza"/>
          <w:rFonts w:eastAsia="Times New Roman" w:cs="Arial"/>
          <w:noProof w:val="0"/>
          <w:sz w:val="24"/>
          <w:szCs w:val="24"/>
          <w:lang w:eastAsia="hr-HR"/>
        </w:rPr>
        <w:t xml:space="preserve">https://os-selca.skole.hr/natjecaj-za-radna-mjesta/</w:t>
      </w:r>
      <w:r>
        <w:rPr/>
        <w:fldChar w:fldCharType="end"/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. Poziv na pristupanje procjeni odnosno testiranju, putem elektroničke pošte se dostavlja najkasnije pet dana prije dana testiranja/procjene onim kandidatima/kandidatkinjama koji su pravodobno podnijeli potpunu vlastoručno potpisanu prijavu te ispunjavaju uvjete natječaja, odnosno Zakonske uvjete za zasnivanje radnog odnosa i objavljuje se na mrežnim stranicama škole.</w:t>
      </w: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Kandidat/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kinja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 koji/a se ne odazove bilo kojem od postupaka vrednovanja  na koji se treba odazvati, odnosno na koje je pozvan, smatrat će se da je odustao od prijave te se njegova prijava neće uzimati u obzir u daljnjem postupku.</w:t>
      </w: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U skladu s uredbom Europske unije 2016/679 Europskog parlamenta i Vijeća od 17. travnja 2016. godine te Zakonom o provedbi Opće uredbe o zaštiti podataka (NN 42/18) prijavom na natječaj osoba daje privolu Osnovnoj školi Selca za prikupljanje i obradu podataka iz natječajne dokumentacije, a sve u svrhu provedbe natječaja za zapošljavanje.</w:t>
      </w: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Nepotpune i nepravodobne prijave neće se razmatrati.</w:t>
      </w:r>
    </w:p>
    <w:p>
      <w:pPr>
        <w:spacing w:before="30" w:after="30" w:line="240" w:lineRule="auto"/>
        <w:jc w:val="both"/>
        <w:rPr>
          <w:rFonts w:eastAsia="Times New Roman" w:cs="Arial"/>
          <w:b/>
          <w:noProof w:val="0"/>
          <w:color w:val="333333"/>
          <w:sz w:val="24"/>
          <w:szCs w:val="24"/>
          <w:lang w:eastAsia="hr-HR"/>
        </w:rPr>
      </w:pPr>
    </w:p>
    <w:p>
      <w:pPr>
        <w:spacing w:before="30" w:after="30" w:line="240" w:lineRule="auto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  <w:r>
        <w:rPr>
          <w:rFonts w:eastAsia="Times New Roman" w:cs="Arial"/>
          <w:b/>
          <w:noProof w:val="0"/>
          <w:color w:val="333333"/>
          <w:sz w:val="24"/>
          <w:szCs w:val="24"/>
          <w:lang w:eastAsia="hr-HR"/>
        </w:rPr>
        <w:t xml:space="preserve">Prijave dostaviti </w:t>
      </w:r>
      <w:r>
        <w:rPr>
          <w:rFonts w:eastAsia="Times New Roman" w:cs="Arial"/>
          <w:b/>
          <w:noProof w:val="0"/>
          <w:color w:val="333333"/>
          <w:sz w:val="24"/>
          <w:szCs w:val="24"/>
          <w:lang w:eastAsia="hr-HR"/>
        </w:rPr>
        <w:t xml:space="preserve">neposredno</w:t>
      </w:r>
      <w:r>
        <w:rPr>
          <w:rFonts w:eastAsia="Times New Roman" w:cs="Arial"/>
          <w:b/>
          <w:noProof w:val="0"/>
          <w:color w:val="333333"/>
          <w:sz w:val="24"/>
          <w:szCs w:val="24"/>
          <w:lang w:eastAsia="hr-HR"/>
        </w:rPr>
        <w:t xml:space="preserve"> ili zemaljskom poštom na adresu: Osnovna škola Selca, Šetalište Rajka Štambuka 2, 21425 Selca, u roku od osam dana od da</w:t>
      </w:r>
      <w:r>
        <w:rPr>
          <w:rFonts w:eastAsia="Times New Roman" w:cs="Arial"/>
          <w:b/>
          <w:noProof w:val="0"/>
          <w:color w:val="333333"/>
          <w:sz w:val="24"/>
          <w:szCs w:val="24"/>
          <w:lang w:eastAsia="hr-HR"/>
        </w:rPr>
        <w:t xml:space="preserve">na objave natječaja s naznakom ''</w:t>
      </w:r>
      <w:r>
        <w:rPr>
          <w:rFonts w:eastAsia="Times New Roman" w:cs="Arial"/>
          <w:b/>
          <w:noProof w:val="0"/>
          <w:color w:val="333333"/>
          <w:sz w:val="24"/>
          <w:szCs w:val="24"/>
          <w:lang w:eastAsia="hr-HR"/>
        </w:rPr>
        <w:t xml:space="preserve">za natječaj – </w:t>
      </w:r>
      <w:r>
        <w:rPr>
          <w:rFonts w:eastAsia="Times New Roman" w:cs="Arial"/>
          <w:b/>
          <w:noProof w:val="0"/>
          <w:color w:val="333333"/>
          <w:sz w:val="24"/>
          <w:szCs w:val="24"/>
          <w:lang w:eastAsia="hr-HR"/>
        </w:rPr>
        <w:t xml:space="preserve">stručni/a suradnik/</w:t>
      </w:r>
      <w:r>
        <w:rPr>
          <w:rFonts w:eastAsia="Times New Roman" w:cs="Arial"/>
          <w:b/>
          <w:noProof w:val="0"/>
          <w:color w:val="333333"/>
          <w:sz w:val="24"/>
          <w:szCs w:val="24"/>
          <w:lang w:eastAsia="hr-HR"/>
        </w:rPr>
        <w:t xml:space="preserve">ca</w:t>
      </w:r>
      <w:r>
        <w:rPr>
          <w:rFonts w:eastAsia="Times New Roman" w:cs="Arial"/>
          <w:b/>
          <w:noProof w:val="0"/>
          <w:color w:val="333333"/>
          <w:sz w:val="24"/>
          <w:szCs w:val="24"/>
          <w:lang w:eastAsia="hr-HR"/>
        </w:rPr>
        <w:t xml:space="preserve"> knjižničar/ka.</w:t>
      </w:r>
      <w:r>
        <w:rPr>
          <w:rFonts w:eastAsia="Times New Roman" w:cs="Arial"/>
          <w:b/>
          <w:noProof w:val="0"/>
          <w:color w:val="333333"/>
          <w:sz w:val="24"/>
          <w:szCs w:val="24"/>
          <w:lang w:eastAsia="hr-HR"/>
        </w:rPr>
        <w:br/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 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br/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Kandidati/kinje će o rezultatima natječaja biti obaviješteni sukladno odredbama članka 23. Pravilnika o postupku zapošljavanja te procjeni i vrednovanju kandidata za zapošljavanje u Osnovnoj školi Selca, putem mre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žne stranice školske ustanove (</w:t>
      </w:r>
      <w:r>
        <w:rPr/>
        <w:fldChar w:fldCharType="begin"/>
      </w:r>
      <w:r>
        <w:rPr/>
        <w:instrText xml:space="preserve">HYPERLINK "https://os-selca.skole.hr/natjecaj-za-radna-mjesta/" </w:instrText>
      </w:r>
      <w:r>
        <w:rPr/>
        <w:fldChar w:fldCharType="separate"/>
      </w:r>
      <w:r>
        <w:rPr>
          <w:rStyle w:val="Hiperveza"/>
          <w:rFonts w:eastAsia="Times New Roman" w:cs="Arial"/>
          <w:noProof w:val="0"/>
          <w:sz w:val="24"/>
          <w:szCs w:val="24"/>
          <w:lang w:eastAsia="hr-HR"/>
        </w:rPr>
        <w:t xml:space="preserve">https://os-selca.skole.hr/natjecaj-za-radna-mjesta/</w:t>
      </w:r>
      <w:r>
        <w:rPr/>
        <w:fldChar w:fldCharType="end"/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 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), najkasnije u roku petnaest dana od dana sklapanja ugovora o radu sa odabranim/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nom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 kandidatom/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kinjom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. U slučaju da se na natječaj prijave kandidati/kinje koji se pozivaju na pravo prednosti pri zapošljavanju prema posebnom propisu, svi će kandidati/kinje biti obaviješteni i prema članku 23. stavku 4. Pravilnika.</w:t>
      </w:r>
    </w:p>
    <w:p>
      <w:pPr>
        <w:spacing w:before="30" w:after="30" w:line="240" w:lineRule="auto"/>
        <w:jc w:val="both"/>
        <w:rPr>
          <w:rFonts w:eastAsia="Times New Roman"/>
          <w:b/>
          <w:noProof w:val="0"/>
          <w:sz w:val="24"/>
          <w:szCs w:val="24"/>
          <w:lang w:eastAsia="hr-HR"/>
        </w:rPr>
      </w:pPr>
      <w:r>
        <w:rPr>
          <w:rFonts w:eastAsia="Times New Roman"/>
          <w:b/>
          <w:noProof w:val="0"/>
          <w:sz w:val="24"/>
          <w:szCs w:val="24"/>
          <w:lang w:eastAsia="hr-HR"/>
        </w:rPr>
        <w:t xml:space="preserve">__________________________________________________________________________</w:t>
      </w:r>
    </w:p>
    <w:p>
      <w:pPr>
        <w:spacing w:before="30" w:after="30" w:line="240" w:lineRule="auto"/>
        <w:rPr>
          <w:rFonts w:eastAsia="Times New Roman"/>
          <w:noProof w:val="0"/>
          <w:sz w:val="24"/>
          <w:szCs w:val="24"/>
          <w:lang w:eastAsia="hr-HR"/>
        </w:rPr>
      </w:pPr>
    </w:p>
    <w:p>
      <w:pPr>
        <w:spacing w:before="30" w:after="30" w:line="240" w:lineRule="auto"/>
        <w:rPr>
          <w:rFonts w:eastAsia="Times New Roman"/>
          <w:noProof w:val="0"/>
          <w:sz w:val="24"/>
          <w:szCs w:val="24"/>
          <w:lang w:eastAsia="hr-HR"/>
        </w:rPr>
      </w:pPr>
      <w:r>
        <w:rPr>
          <w:rFonts w:eastAsia="Times New Roman"/>
          <w:noProof w:val="0"/>
          <w:sz w:val="24"/>
          <w:szCs w:val="24"/>
          <w:lang w:eastAsia="hr-HR"/>
        </w:rPr>
        <w:t xml:space="preserve">Natječaj je objavljen na mrežnim stranicama i oglasnoj ploči Hrvatskog zavoda za zapošljavanje te mrežnim stanicam</w:t>
      </w:r>
      <w:r>
        <w:rPr>
          <w:rFonts w:eastAsia="Times New Roman"/>
          <w:noProof w:val="0"/>
          <w:sz w:val="24"/>
          <w:szCs w:val="24"/>
          <w:lang w:eastAsia="hr-HR"/>
        </w:rPr>
        <w:t xml:space="preserve">a i oglasnoj ploči škole dana </w:t>
      </w:r>
      <w:r>
        <w:rPr>
          <w:rFonts w:eastAsia="Times New Roman"/>
          <w:noProof w:val="0"/>
          <w:sz w:val="24"/>
          <w:szCs w:val="24"/>
          <w:lang w:eastAsia="hr-HR"/>
        </w:rPr>
        <w:t xml:space="preserve">10</w:t>
      </w:r>
      <w:r>
        <w:rPr>
          <w:rFonts w:eastAsia="Times New Roman"/>
          <w:noProof w:val="0"/>
          <w:sz w:val="24"/>
          <w:szCs w:val="24"/>
          <w:lang w:eastAsia="hr-HR"/>
        </w:rPr>
        <w:t xml:space="preserve">.</w:t>
      </w:r>
      <w:r>
        <w:rPr>
          <w:rFonts w:eastAsia="Times New Roman"/>
          <w:noProof w:val="0"/>
          <w:sz w:val="24"/>
          <w:szCs w:val="24"/>
          <w:lang w:eastAsia="hr-HR"/>
        </w:rPr>
        <w:t xml:space="preserve">12.</w:t>
      </w:r>
      <w:r>
        <w:rPr>
          <w:rFonts w:eastAsia="Times New Roman"/>
          <w:noProof w:val="0"/>
          <w:sz w:val="24"/>
          <w:szCs w:val="24"/>
          <w:lang w:eastAsia="hr-HR"/>
        </w:rPr>
        <w:t xml:space="preserve">2025. i traje do </w:t>
      </w:r>
      <w:r>
        <w:rPr>
          <w:rFonts w:eastAsia="Times New Roman"/>
          <w:noProof w:val="0"/>
          <w:sz w:val="24"/>
          <w:szCs w:val="24"/>
          <w:lang w:eastAsia="hr-HR"/>
        </w:rPr>
        <w:t xml:space="preserve">18.12</w:t>
      </w:r>
      <w:bookmarkStart w:id="3" w:name="_GoBack"/>
      <w:bookmarkEnd w:id="3"/>
      <w:r>
        <w:rPr>
          <w:rFonts w:eastAsia="Times New Roman"/>
          <w:noProof w:val="0"/>
          <w:sz w:val="24"/>
          <w:szCs w:val="24"/>
          <w:lang w:eastAsia="hr-HR"/>
        </w:rPr>
        <w:t xml:space="preserve">.2025</w:t>
      </w:r>
      <w:r>
        <w:rPr>
          <w:rFonts w:eastAsia="Times New Roman"/>
          <w:noProof w:val="0"/>
          <w:sz w:val="24"/>
          <w:szCs w:val="24"/>
          <w:lang w:eastAsia="hr-HR"/>
        </w:rPr>
        <w:t xml:space="preserve">. godine.</w:t>
      </w:r>
    </w:p>
    <w:p>
      <w:pPr>
        <w:spacing w:before="30" w:after="30" w:line="240" w:lineRule="auto"/>
        <w:rPr>
          <w:rFonts w:eastAsia="Times New Roman"/>
          <w:noProof w:val="0"/>
          <w:sz w:val="24"/>
          <w:szCs w:val="24"/>
          <w:lang w:eastAsia="hr-HR"/>
        </w:rPr>
      </w:pPr>
    </w:p>
    <w:p>
      <w:pPr>
        <w:spacing w:before="30" w:after="30" w:line="240" w:lineRule="auto"/>
        <w:jc w:val="right"/>
        <w:rPr>
          <w:rFonts w:eastAsia="Times New Roman"/>
          <w:noProof w:val="0"/>
          <w:sz w:val="24"/>
          <w:szCs w:val="24"/>
          <w:lang w:eastAsia="hr-HR"/>
        </w:rPr>
      </w:pPr>
      <w:r>
        <w:rPr>
          <w:rFonts w:eastAsia="Times New Roman"/>
          <w:noProof w:val="0"/>
          <w:sz w:val="24"/>
          <w:szCs w:val="24"/>
          <w:lang w:eastAsia="hr-HR"/>
        </w:rPr>
        <w:t xml:space="preserve">Ravnatelj:</w:t>
      </w:r>
    </w:p>
    <w:p>
      <w:pPr>
        <w:spacing w:before="30" w:after="30" w:line="240" w:lineRule="auto"/>
        <w:jc w:val="right"/>
        <w:rPr>
          <w:rFonts w:eastAsia="Times New Roman"/>
          <w:noProof w:val="0"/>
          <w:sz w:val="24"/>
          <w:szCs w:val="24"/>
          <w:lang w:eastAsia="hr-HR"/>
        </w:rPr>
      </w:pPr>
      <w:r>
        <w:rPr>
          <w:rFonts w:eastAsia="Times New Roman"/>
          <w:noProof w:val="0"/>
          <w:sz w:val="24"/>
          <w:szCs w:val="24"/>
          <w:lang w:eastAsia="hr-HR"/>
        </w:rPr>
        <w:t xml:space="preserve">Ivica </w:t>
      </w:r>
      <w:r>
        <w:rPr>
          <w:rFonts w:eastAsia="Times New Roman"/>
          <w:noProof w:val="0"/>
          <w:sz w:val="24"/>
          <w:szCs w:val="24"/>
          <w:lang w:eastAsia="hr-HR"/>
        </w:rPr>
        <w:t xml:space="preserve">Škrpaca</w:t>
      </w:r>
      <w:r>
        <w:rPr>
          <w:rFonts w:eastAsia="Times New Roman"/>
          <w:noProof w:val="0"/>
          <w:sz w:val="24"/>
          <w:szCs w:val="24"/>
          <w:lang w:eastAsia="hr-HR"/>
        </w:rPr>
        <w:t xml:space="preserve">, prof.</w:t>
      </w:r>
    </w:p>
    <w:p>
      <w:pPr>
        <w:spacing/>
        <w:rPr/>
      </w:pPr>
    </w:p>
    <w:sectPr>
      <w:type w:val="nextPage"/>
      <w:pgSz w:w="11907" w:h="16839"/>
      <w:pgMar w:top="1417" w:right="1417" w:bottom="709" w:left="1417" w:header="709" w:footer="709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Minion Pro">
    <w:altName w:val="Times New Roman"/>
    <w:charset w:val="0"/>
    <w:family w:val="roman"/>
    <w:pitch w:val="default"/>
    <w:sig w:usb0="00000000" w:usb1="00000000" w:usb2="00000000" w:usb3="00000000" w:csb0="00000000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FF1943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suff w:val="tab"/>
      <w:lvlText w:val=""/>
      <w:pPr>
        <w:tabs>
          <w:tab w:val="num" w:pos="2880"/>
        </w:tabs>
        <w:spacing/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suff w:val="tab"/>
      <w:lvlText w:val=""/>
      <w:pPr>
        <w:tabs>
          <w:tab w:val="num" w:pos="3600"/>
        </w:tabs>
        <w:spacing/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suff w:val="tab"/>
      <w:lvlText w:val=""/>
      <w:pPr>
        <w:tabs>
          <w:tab w:val="num" w:pos="5040"/>
        </w:tabs>
        <w:spacing/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suff w:val="tab"/>
      <w:lvlText w:val=""/>
      <w:pPr>
        <w:tabs>
          <w:tab w:val="num" w:pos="5760"/>
        </w:tabs>
        <w:spacing/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200" w:line="276" w:lineRule="auto"/>
    </w:pPr>
    <w:rPr>
      <w:rFonts w:ascii="Calibri" w:hAnsi="Calibri" w:eastAsia="Calibri" w:cs="Times New Roman"/>
      <w:noProof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4</Pages>
  <Words>1569</Words>
  <Characters>8944</Characters>
  <Application>Microsoft Office Word</Application>
  <DocSecurity>0</DocSecurity>
  <Lines>74</Lines>
  <Paragraphs>20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2025-12-10T08:37:00Z</dcterms:created>
  <dcterms:modified xsi:type="dcterms:W3CDTF">2025-12-10T08:37:00Z</dcterms:modified>
</cp:coreProperties>
</file>