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46621">
      <w:pPr>
        <w:spacing w:after="160" w:line="259" w:lineRule="auto"/>
        <w:rPr>
          <w:rFonts w:ascii="Times New Roman" w:hAnsi="Times New Roman"/>
          <w:b/>
        </w:rPr>
      </w:pPr>
      <w:r>
        <w:rPr>
          <w:rFonts w:ascii="Times New Roman" w:hAnsi="Times New Roman"/>
          <w:b/>
        </w:rPr>
        <w:t xml:space="preserve">                    </w:t>
      </w:r>
      <w:r>
        <w:rPr>
          <w:lang w:eastAsia="hr-HR"/>
        </w:rPr>
        <w:drawing>
          <wp:inline>
            <wp:extent cx="472440" cy="563880"/>
            <wp:effectExtent xmlns:wp="http://schemas.openxmlformats.org/drawingml/2006/wordprocessingDrawing" l="0" t="0" r="0" b="0"/>
            <wp:docPr id="1" descr="C:\Users\ilija\Desktop\RAZNO\GRB.png"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2440" cy="563880"/>
                    </a:xfrm>
                    <a:prstGeom prst="rect">
                      <a:avLst/>
                    </a:prstGeom>
                  </pic:spPr>
                </pic:pic>
              </a:graphicData>
            </a:graphic>
          </wp:inline>
        </w:drawing>
      </w:r>
      <w:r>
        <w:rPr>
          <w:rFonts w:ascii="Times New Roman" w:hAnsi="Times New Roman"/>
          <w:b/>
        </w:rPr>
        <w:t xml:space="preserve">    </w:t>
      </w:r>
    </w:p>
    <w:p w14:paraId="744EE2F7">
      <w:pPr>
        <w:spacing w:after="0" w:line="259" w:lineRule="auto"/>
        <w:rPr>
          <w:rFonts w:ascii="Times New Roman" w:hAnsi="Times New Roman"/>
          <w:b/>
        </w:rPr>
      </w:pPr>
      <w:r>
        <w:rPr>
          <w:rFonts w:ascii="Times New Roman" w:hAnsi="Times New Roman"/>
          <w:b/>
        </w:rPr>
        <w:t xml:space="preserve">  REPUBLIKA HRVATSKA                                                                                                                                                                                                                                 </w:t>
      </w:r>
      <w:r>
        <w:rPr>
          <w:rFonts w:ascii="Times New Roman" w:hAnsi="Times New Roman"/>
        </w:rPr>
        <w:t xml:space="preserve">                                                                                                                                                                                                                                                                                                            </w:t>
      </w:r>
    </w:p>
    <w:tbl>
      <w:tblP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9"/>
        <w:gridCol w:w="2693"/>
      </w:tblGrid>
      <w:tr>
        <w:trPr/>
        <w:tc>
          <w:tcPr>
            <w:tcW w:type="dxa" w:w="6379"/>
            <w:tcBorders/>
          </w:tcPr>
          <w:p>
            <w:pPr>
              <w:spacing w:after="160" w:line="259" w:lineRule="auto"/>
              <w:rPr>
                <w:rFonts w:ascii="Times New Roman" w:hAnsi="Times New Roman"/>
              </w:rPr>
            </w:pPr>
            <w:bookmarkStart w:id="2" w:name="_Hlk128748807"/>
            <w:r>
              <w:rPr>
                <w:rFonts w:ascii="Times New Roman" w:hAnsi="Times New Roman"/>
                <w:b/>
              </w:rPr>
              <w:t xml:space="preserve">OSNOVNA ŠKOLA SELCA</w:t>
            </w:r>
            <w:r>
              <w:rPr>
                <w:rFonts w:ascii="Times New Roman" w:hAnsi="Times New Roman"/>
              </w:rPr>
              <w:t xml:space="preserve">                                                                                                      Šetalište Rajka Štambuka 2, 21425 Selca                                                                                                      KLASA: </w:t>
            </w:r>
            <w:r>
              <w:rPr>
                <w:rFonts w:ascii="Times New Roman" w:hAnsi="Times New Roman"/>
              </w:rPr>
              <w:t xml:space="preserve">112-02/26-01/8</w:t>
            </w:r>
            <w:r>
              <w:rPr>
                <w:rFonts w:ascii="Times New Roman" w:hAnsi="Times New Roman"/>
              </w:rPr>
              <w:t xml:space="preserve">                                                                                                                                        URBROJ: </w:t>
            </w:r>
            <w:r>
              <w:rPr>
                <w:rFonts w:ascii="Times New Roman" w:hAnsi="Times New Roman"/>
              </w:rPr>
              <w:t xml:space="preserve">2181-308-01-26-1</w:t>
            </w:r>
            <w:r>
              <w:rPr>
                <w:rFonts w:ascii="Times New Roman" w:hAnsi="Times New Roman"/>
              </w:rPr>
              <w:t xml:space="preserve">                                                                                    </w:t>
            </w:r>
            <w:r>
              <w:rPr>
                <w:rFonts w:ascii="Times New Roman" w:hAnsi="Times New Roman"/>
              </w:rPr>
              <w:t xml:space="preserve">                       Selca, </w:t>
            </w:r>
            <w:r>
              <w:rPr>
                <w:rFonts w:ascii="Times New Roman" w:hAnsi="Times New Roman"/>
              </w:rPr>
              <w:t xml:space="preserve">12</w:t>
            </w:r>
            <w:r>
              <w:rPr>
                <w:rFonts w:ascii="Times New Roman" w:hAnsi="Times New Roman"/>
              </w:rPr>
              <w:t xml:space="preserve">. listopada 2026.</w:t>
            </w:r>
            <w:r>
              <w:rPr>
                <w:rFonts w:ascii="Times New Roman" w:hAnsi="Times New Roman"/>
              </w:rPr>
              <w:t xml:space="preserve"> </w:t>
            </w:r>
          </w:p>
        </w:tc>
        <w:tc>
          <w:tcPr>
            <w:tcW w:type="dxa" w:w="2693"/>
            <w:tcBorders/>
          </w:tcPr>
          <w:p>
            <w:pPr>
              <w:spacing w:after="160" w:line="259" w:lineRule="auto"/>
              <w:jc w:val="right"/>
              <w:rPr>
                <w:rFonts w:ascii="Times New Roman" w:hAnsi="Times New Roman"/>
              </w:rPr>
            </w:pPr>
            <w:r>
              <w:rPr/>
              <w:drawing>
                <wp:inline>
                  <wp:extent cx="933580" cy="933580"/>
                  <wp:docPr id="2" name="Picture 2"/>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a:srcRect/>
                          <a:stretch>
                            <a:fillRect/>
                          </a:stretch>
                        </pic:blipFill>
                        <pic:spPr bwMode="auto">
                          <a:xfrm>
                            <a:off x="0" y="0"/>
                            <a:ext cx="933580" cy="933580"/>
                          </a:xfrm>
                          <a:prstGeom prst="rect">
                            <a:avLst/>
                          </a:prstGeom>
                        </pic:spPr>
                      </pic:pic>
                    </a:graphicData>
                  </a:graphic>
                </wp:inline>
              </w:drawing>
            </w:r>
          </w:p>
        </w:tc>
      </w:tr>
    </w:tbl>
    <w:bookmarkEnd w:id="2"/>
    <w:p w14:paraId="7B7F13CA">
      <w:pPr>
        <w:spacing w:before="30" w:after="30" w:line="240" w:lineRule="auto"/>
        <w:ind w:firstLine="708"/>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Temeljem članka 107. Zakona o odgoju i obrazovanju u osnovnoj i srednjoj školi („Narodne novine“, br. 87/08, 86/09, 92/10, 105/10, 90/11, 5/12, 16/12, 86/12, 126/12, 94/13, 152/</w:t>
      </w:r>
      <w:r>
        <w:rPr>
          <w:rFonts w:eastAsia="Times New Roman" w:cs="Arial"/>
          <w:noProof w:val="0"/>
          <w:color w:val="333333"/>
          <w:sz w:val="24"/>
          <w:szCs w:val="24"/>
          <w:shd w:val="clear" w:color="auto" w:fill="FFFFFF"/>
          <w:lang w:eastAsia="hr-HR"/>
        </w:rPr>
        <w:t xml:space="preserve">14, 07/17, 68/18, 98/19, 64/20,</w:t>
      </w:r>
      <w:r>
        <w:rPr>
          <w:rFonts w:eastAsia="Times New Roman" w:cs="Arial"/>
          <w:noProof w:val="0"/>
          <w:color w:val="333333"/>
          <w:sz w:val="24"/>
          <w:szCs w:val="24"/>
          <w:shd w:val="clear" w:color="auto" w:fill="FFFFFF"/>
          <w:lang w:eastAsia="hr-HR"/>
        </w:rPr>
        <w:t xml:space="preserve"> 151/22</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156/23</w:t>
      </w:r>
      <w:r>
        <w:rPr>
          <w:rFonts w:eastAsia="Times New Roman" w:cs="Arial"/>
          <w:noProof w:val="0"/>
          <w:color w:val="333333"/>
          <w:sz w:val="24"/>
          <w:szCs w:val="24"/>
          <w:shd w:val="clear" w:color="auto" w:fill="FFFFFF"/>
          <w:lang w:eastAsia="hr-HR"/>
        </w:rPr>
        <w:t xml:space="preserve">), te članaka 8. i 9. Pravilnika o postupku zapošljavanja te procjeni i vrednovanju kandidata za zapošljavanje u Osnovnoj školi Selca (KLASA: 003-05/19-01/1, URBROJ: 2104-34-19-01 od 16. svibnja 2019., u daljnjem tekstu: Pravilnik)</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Osnovna škola </w:t>
      </w:r>
      <w:r>
        <w:rPr>
          <w:rFonts w:eastAsia="Times New Roman" w:cs="Arial"/>
          <w:noProof w:val="0"/>
          <w:color w:val="333333"/>
          <w:sz w:val="24"/>
          <w:szCs w:val="24"/>
          <w:shd w:val="clear" w:color="auto" w:fill="FFFFFF"/>
          <w:lang w:eastAsia="hr-HR"/>
        </w:rPr>
        <w:t xml:space="preserve">Selca, ravnatelj</w:t>
      </w:r>
      <w:r>
        <w:rPr>
          <w:rFonts w:eastAsia="Times New Roman" w:cs="Arial"/>
          <w:noProof w:val="0"/>
          <w:color w:val="333333"/>
          <w:sz w:val="24"/>
          <w:szCs w:val="24"/>
          <w:shd w:val="clear" w:color="auto" w:fill="FFFFFF"/>
          <w:lang w:eastAsia="hr-HR"/>
        </w:rPr>
        <w:t xml:space="preserve">ica Silvana Kovačić Usrić</w:t>
      </w:r>
      <w:r>
        <w:rPr>
          <w:rFonts w:eastAsia="Times New Roman" w:cs="Arial"/>
          <w:noProof w:val="0"/>
          <w:color w:val="333333"/>
          <w:sz w:val="24"/>
          <w:szCs w:val="24"/>
          <w:shd w:val="clear" w:color="auto" w:fill="FFFFFF"/>
          <w:lang w:eastAsia="hr-HR"/>
        </w:rPr>
        <w:t xml:space="preserve">, Šetalište Rajka Štambuka 2, Selca</w:t>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shd w:val="clear" w:color="auto" w:fill="FFFFFF"/>
          <w:lang w:eastAsia="hr-HR"/>
        </w:rPr>
        <w:t xml:space="preserve">raspisuje</w:t>
      </w:r>
    </w:p>
    <w:p w14:paraId="552730DB">
      <w:pPr>
        <w:spacing w:before="30" w:after="30" w:line="240" w:lineRule="auto"/>
        <w:jc w:val="center"/>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NATJEČAJ</w:t>
      </w:r>
      <w:r>
        <w:rPr>
          <w:rFonts w:eastAsia="Times New Roman" w:cs="Arial"/>
          <w:b/>
          <w:bCs/>
          <w:noProof w:val="0"/>
          <w:color w:val="333333"/>
          <w:sz w:val="24"/>
          <w:szCs w:val="24"/>
          <w:shd w:val="clear" w:color="auto" w:fill="FFFFFF"/>
          <w:lang w:eastAsia="hr-HR"/>
        </w:rPr>
        <w:br/>
      </w:r>
      <w:r>
        <w:rPr>
          <w:rFonts w:eastAsia="Times New Roman" w:cs="Arial"/>
          <w:b/>
          <w:bCs/>
          <w:noProof w:val="0"/>
          <w:color w:val="333333"/>
          <w:sz w:val="24"/>
          <w:szCs w:val="24"/>
          <w:shd w:val="clear" w:color="auto" w:fill="FFFFFF"/>
          <w:lang w:eastAsia="hr-HR"/>
        </w:rPr>
        <w:t xml:space="preserve">za zasnivanje radnog odnosa</w:t>
      </w:r>
      <w:r>
        <w:rPr>
          <w:rFonts w:eastAsia="Times New Roman" w:cs="Arial"/>
          <w:noProof w:val="0"/>
          <w:color w:val="333333"/>
          <w:sz w:val="24"/>
          <w:szCs w:val="24"/>
          <w:lang w:eastAsia="hr-HR"/>
        </w:rPr>
        <w:br/>
      </w:r>
      <w:r>
        <w:rPr>
          <w:rFonts w:eastAsia="Times New Roman" w:cs="Arial"/>
          <w:noProof w:val="0"/>
          <w:color w:val="333333"/>
          <w:sz w:val="24"/>
          <w:szCs w:val="24"/>
          <w:shd w:val="clear" w:color="auto" w:fill="FFFFFF"/>
          <w:lang w:eastAsia="hr-HR"/>
        </w:rPr>
        <w:t xml:space="preserve"> </w:t>
      </w:r>
      <w:r>
        <w:rPr>
          <w:rFonts w:eastAsia="Times New Roman" w:cs="Arial"/>
          <w:noProof w:val="0"/>
          <w:color w:val="333333"/>
          <w:sz w:val="24"/>
          <w:szCs w:val="24"/>
          <w:lang w:eastAsia="hr-HR"/>
        </w:rPr>
        <w:br/>
      </w:r>
      <w:r>
        <w:rPr>
          <w:rFonts w:eastAsia="Times New Roman" w:cs="Arial"/>
          <w:b/>
          <w:bCs/>
          <w:noProof w:val="0"/>
          <w:color w:val="333333"/>
          <w:sz w:val="24"/>
          <w:szCs w:val="24"/>
          <w:shd w:val="clear" w:color="auto" w:fill="FFFFFF"/>
          <w:lang w:eastAsia="hr-HR"/>
        </w:rPr>
        <w:t xml:space="preserve">učitelj/ica </w:t>
      </w:r>
      <w:r>
        <w:rPr>
          <w:rFonts w:eastAsia="Times New Roman" w:cs="Arial"/>
          <w:b/>
          <w:bCs/>
          <w:noProof w:val="0"/>
          <w:color w:val="333333"/>
          <w:sz w:val="24"/>
          <w:szCs w:val="24"/>
          <w:shd w:val="clear" w:color="auto" w:fill="FFFFFF"/>
          <w:lang w:eastAsia="hr-HR"/>
        </w:rPr>
        <w:t xml:space="preserve">matematike</w:t>
      </w:r>
      <w:r>
        <w:rPr>
          <w:rFonts w:eastAsia="Times New Roman" w:cs="Arial"/>
          <w:noProof w:val="0"/>
          <w:color w:val="333333"/>
          <w:sz w:val="24"/>
          <w:szCs w:val="24"/>
          <w:shd w:val="clear" w:color="auto" w:fill="FFFFFF"/>
          <w:lang w:eastAsia="hr-HR"/>
        </w:rPr>
        <w:t xml:space="preserve">, 1 izvršite</w:t>
      </w:r>
      <w:r>
        <w:rPr>
          <w:rFonts w:eastAsia="Times New Roman" w:cs="Arial"/>
          <w:noProof w:val="0"/>
          <w:color w:val="333333"/>
          <w:sz w:val="24"/>
          <w:szCs w:val="24"/>
          <w:shd w:val="clear" w:color="auto" w:fill="FFFFFF"/>
          <w:lang w:eastAsia="hr-HR"/>
        </w:rPr>
        <w:t xml:space="preserve">lj/ica, na određeno </w:t>
      </w:r>
      <w:r>
        <w:rPr>
          <w:rFonts w:eastAsia="Times New Roman" w:cs="Arial"/>
          <w:noProof w:val="0"/>
          <w:color w:val="333333"/>
          <w:sz w:val="24"/>
          <w:szCs w:val="24"/>
          <w:shd w:val="clear" w:color="auto" w:fill="FFFFFF"/>
          <w:lang w:eastAsia="hr-HR"/>
        </w:rPr>
        <w:t xml:space="preserve">puno radno vrijeme</w:t>
      </w:r>
      <w:r>
        <w:rPr>
          <w:rFonts w:eastAsia="Times New Roman" w:cs="Arial"/>
          <w:noProof w:val="0"/>
          <w:color w:val="333333"/>
          <w:sz w:val="24"/>
          <w:szCs w:val="24"/>
          <w:shd w:val="clear" w:color="auto" w:fill="FFFFFF"/>
          <w:lang w:eastAsia="hr-HR"/>
        </w:rPr>
        <w:t xml:space="preserve"> (zamjena)</w:t>
      </w:r>
    </w:p>
    <w:p w14:paraId="5B8A20CB">
      <w:pPr>
        <w:pStyle w:val="NoSpacing"/>
        <w:spacing/>
        <w:rPr>
          <w:sz w:val="24"/>
          <w:szCs w:val="24"/>
        </w:rPr>
      </w:pPr>
    </w:p>
    <w:p w14:paraId="5D18E06A">
      <w:pPr>
        <w:spacing w:before="30" w:after="30" w:line="240" w:lineRule="auto"/>
        <w:jc w:val="both"/>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Opći uvjeti za zasnivanje radnog odnosa i posebn</w:t>
      </w:r>
      <w:r>
        <w:rPr>
          <w:rFonts w:eastAsia="Times New Roman" w:cs="Arial"/>
          <w:noProof w:val="0"/>
          <w:color w:val="333333"/>
          <w:sz w:val="24"/>
          <w:szCs w:val="24"/>
          <w:shd w:val="clear" w:color="auto" w:fill="FFFFFF"/>
          <w:lang w:eastAsia="hr-HR"/>
        </w:rPr>
        <w:t xml:space="preserve">i uvjeti iz članka 105. stavka 6</w:t>
      </w:r>
      <w:r>
        <w:rPr>
          <w:rFonts w:eastAsia="Times New Roman" w:cs="Arial"/>
          <w:noProof w:val="0"/>
          <w:color w:val="333333"/>
          <w:sz w:val="24"/>
          <w:szCs w:val="24"/>
          <w:shd w:val="clear" w:color="auto" w:fill="FFFFFF"/>
          <w:lang w:eastAsia="hr-HR"/>
        </w:rPr>
        <w:t xml:space="preserve">. Zakona o odgoju i obrazovanju u osnovnoj i srednjoj školi (''Narodne novine'' broj 87/08, 86/09, 92/10, 105/10, 90/11, 5/12, 16/12, 86/12, 126/12, 94/13, 152/14, 07/17, 68/18, 98/19, 64/20 i 151/22</w:t>
      </w:r>
      <w:r>
        <w:rPr>
          <w:rFonts w:eastAsia="Times New Roman" w:cs="Arial"/>
          <w:noProof w:val="0"/>
          <w:color w:val="333333"/>
          <w:sz w:val="24"/>
          <w:szCs w:val="24"/>
          <w:shd w:val="clear" w:color="auto" w:fill="FFFFFF"/>
          <w:lang w:eastAsia="hr-HR"/>
        </w:rPr>
        <w:t xml:space="preserve">, 156/23</w:t>
      </w:r>
      <w:r>
        <w:rPr>
          <w:rFonts w:eastAsia="Times New Roman" w:cs="Arial"/>
          <w:noProof w:val="0"/>
          <w:color w:val="333333"/>
          <w:sz w:val="24"/>
          <w:szCs w:val="24"/>
          <w:shd w:val="clear" w:color="auto" w:fill="FFFFFF"/>
          <w:lang w:eastAsia="hr-HR"/>
        </w:rPr>
        <w:t xml:space="preserve">), član</w:t>
      </w:r>
      <w:r>
        <w:rPr>
          <w:rFonts w:eastAsia="Times New Roman" w:cs="Arial"/>
          <w:noProof w:val="0"/>
          <w:color w:val="333333"/>
          <w:sz w:val="24"/>
          <w:szCs w:val="24"/>
          <w:shd w:val="clear" w:color="auto" w:fill="FFFFFF"/>
          <w:lang w:eastAsia="hr-HR"/>
        </w:rPr>
        <w:t xml:space="preserve">a</w:t>
      </w:r>
      <w:r>
        <w:rPr>
          <w:rFonts w:eastAsia="Times New Roman" w:cs="Arial"/>
          <w:noProof w:val="0"/>
          <w:color w:val="333333"/>
          <w:sz w:val="24"/>
          <w:szCs w:val="24"/>
          <w:shd w:val="clear" w:color="auto" w:fill="FFFFFF"/>
          <w:lang w:eastAsia="hr-HR"/>
        </w:rPr>
        <w:t xml:space="preserve">ka 6.</w:t>
      </w:r>
      <w:r>
        <w:rPr>
          <w:rFonts w:eastAsia="Times New Roman" w:cs="Arial"/>
          <w:noProof w:val="0"/>
          <w:color w:val="333333"/>
          <w:sz w:val="24"/>
          <w:szCs w:val="24"/>
          <w:shd w:val="clear" w:color="auto" w:fill="FFFFFF"/>
          <w:lang w:eastAsia="hr-HR"/>
        </w:rPr>
        <w:t xml:space="preserve"> i 7.</w:t>
      </w:r>
      <w:r>
        <w:rPr>
          <w:rFonts w:eastAsia="Times New Roman" w:cs="Arial"/>
          <w:noProof w:val="0"/>
          <w:color w:val="333333"/>
          <w:sz w:val="24"/>
          <w:szCs w:val="24"/>
          <w:shd w:val="clear" w:color="auto" w:fill="FFFFFF"/>
          <w:lang w:eastAsia="hr-HR"/>
        </w:rPr>
        <w:t xml:space="preserve"> Pravilnika o radu</w:t>
      </w:r>
      <w:r>
        <w:rPr>
          <w:rFonts w:eastAsia="Times New Roman" w:cs="Arial"/>
          <w:noProof w:val="0"/>
          <w:color w:val="333333"/>
          <w:sz w:val="24"/>
          <w:szCs w:val="24"/>
          <w:shd w:val="clear" w:color="auto" w:fill="FFFFFF"/>
          <w:lang w:eastAsia="hr-HR"/>
        </w:rPr>
        <w:t xml:space="preserve"> Osnovne škole Selca (KLASA: 011-04/23-04/1, URBROJ: 2181-308-01-23-01 od 30. lipnja 2023</w:t>
      </w:r>
      <w:r>
        <w:rPr>
          <w:rFonts w:eastAsia="Times New Roman" w:cs="Arial"/>
          <w:noProof w:val="0"/>
          <w:color w:val="333333"/>
          <w:sz w:val="24"/>
          <w:szCs w:val="24"/>
          <w:shd w:val="clear" w:color="auto" w:fill="FFFFFF"/>
          <w:lang w:eastAsia="hr-HR"/>
        </w:rPr>
        <w:t xml:space="preserve">.), te </w:t>
      </w:r>
      <w:r>
        <w:rPr>
          <w:rFonts w:eastAsia="Times New Roman" w:cs="Arial"/>
          <w:b/>
          <w:noProof w:val="0"/>
          <w:color w:val="333333"/>
          <w:sz w:val="24"/>
          <w:szCs w:val="24"/>
          <w:shd w:val="clear" w:color="auto" w:fill="FFFFFF"/>
          <w:lang w:eastAsia="hr-HR"/>
        </w:rPr>
        <w:t xml:space="preserve">uvjeti prema</w:t>
      </w:r>
      <w:r>
        <w:rPr>
          <w:rFonts w:eastAsia="Times New Roman" w:cs="Arial"/>
          <w:b/>
          <w:noProof w:val="0"/>
          <w:color w:val="333333"/>
          <w:sz w:val="24"/>
          <w:szCs w:val="24"/>
          <w:shd w:val="clear" w:color="auto" w:fill="FFFFFF"/>
          <w:lang w:eastAsia="hr-HR"/>
        </w:rPr>
        <w:t xml:space="preserve"> članku 1</w:t>
      </w:r>
      <w:r>
        <w:rPr>
          <w:rFonts w:eastAsia="Times New Roman" w:cs="Arial"/>
          <w:b/>
          <w:noProof w:val="0"/>
          <w:color w:val="333333"/>
          <w:sz w:val="24"/>
          <w:szCs w:val="24"/>
          <w:shd w:val="clear" w:color="auto" w:fill="FFFFFF"/>
          <w:lang w:eastAsia="hr-HR"/>
        </w:rPr>
        <w:t xml:space="preserve">5</w:t>
      </w:r>
      <w:r>
        <w:rPr>
          <w:rFonts w:eastAsia="Times New Roman" w:cs="Arial"/>
          <w:b/>
          <w:noProof w:val="0"/>
          <w:color w:val="333333"/>
          <w:sz w:val="24"/>
          <w:szCs w:val="24"/>
          <w:shd w:val="clear" w:color="auto" w:fill="FFFFFF"/>
          <w:lang w:eastAsia="hr-HR"/>
        </w:rPr>
        <w:t xml:space="preserve">. Pravilnika</w:t>
      </w:r>
      <w:r>
        <w:rPr>
          <w:rFonts w:eastAsia="Times New Roman" w:cs="Arial"/>
          <w:b/>
          <w:noProof w:val="0"/>
          <w:color w:val="333333"/>
          <w:sz w:val="24"/>
          <w:szCs w:val="24"/>
          <w:shd w:val="clear" w:color="auto" w:fill="FFFFFF"/>
          <w:lang w:eastAsia="hr-HR"/>
        </w:rPr>
        <w:t xml:space="preserve"> o odgovarajućoj vrsti obrazovanja učitelja i stručnih suradnika u osnovnoj školi</w:t>
      </w:r>
      <w:r>
        <w:rPr>
          <w:rFonts w:eastAsia="Times New Roman" w:cs="Arial"/>
          <w:noProof w:val="0"/>
          <w:color w:val="333333"/>
          <w:sz w:val="24"/>
          <w:szCs w:val="24"/>
          <w:shd w:val="clear" w:color="auto" w:fill="FFFFFF"/>
          <w:lang w:eastAsia="hr-HR"/>
        </w:rPr>
        <w:t xml:space="preserve"> (''Narod</w:t>
      </w:r>
      <w:r>
        <w:rPr>
          <w:rFonts w:eastAsia="Times New Roman" w:cs="Arial"/>
          <w:noProof w:val="0"/>
          <w:color w:val="333333"/>
          <w:sz w:val="24"/>
          <w:szCs w:val="24"/>
          <w:shd w:val="clear" w:color="auto" w:fill="FFFFFF"/>
          <w:lang w:eastAsia="hr-HR"/>
        </w:rPr>
        <w:t xml:space="preserve">ne novine'' broj 6/19 i 75/20).</w:t>
      </w:r>
    </w:p>
    <w:p w14:paraId="1E662617">
      <w:pPr>
        <w:pStyle w:val="NoSpacing"/>
        <w:spacing/>
        <w:jc w:val="both"/>
        <w:rPr>
          <w:sz w:val="24"/>
          <w:szCs w:val="24"/>
        </w:rPr>
      </w:pPr>
      <w:r>
        <w:rPr>
          <w:sz w:val="24"/>
          <w:szCs w:val="24"/>
        </w:rPr>
        <w:t xml:space="preserve">Na natječaj se pod jednakim uvjetima mogu prijaviti osobe oba spola u skladu sa Zakonom o ravnopravnosti spolova (Narodne novine 82/08 i 69/17). </w:t>
      </w:r>
      <w:r>
        <w:rPr>
          <w:rFonts w:eastAsia="Times New Roman" w:cs="Arial"/>
          <w:noProof w:val="0"/>
          <w:color w:val="333333"/>
          <w:sz w:val="24"/>
          <w:szCs w:val="24"/>
          <w:shd w:val="clear" w:color="auto" w:fill="FFFFFF"/>
          <w:lang w:eastAsia="hr-HR"/>
        </w:rPr>
        <w:t xml:space="preserve">Izrazi koji se koriste u natječaju, a imaju rodno značenje koriste se neutralno i odnose se jednako na muške i na ženske osobe.</w:t>
      </w:r>
    </w:p>
    <w:p w14:paraId="4FD00331">
      <w:pPr>
        <w:spacing w:before="30" w:after="30" w:line="240" w:lineRule="auto"/>
        <w:jc w:val="both"/>
        <w:rPr>
          <w:sz w:val="24"/>
          <w:szCs w:val="24"/>
        </w:rPr>
      </w:pPr>
    </w:p>
    <w:p w14:paraId="7A174989">
      <w:pPr>
        <w:spacing w:before="30" w:after="30" w:line="240" w:lineRule="auto"/>
        <w:jc w:val="both"/>
        <w:rPr>
          <w:rFonts w:eastAsia="Times New Roman" w:cs="Arial"/>
          <w:noProof w:val="0"/>
          <w:color w:val="333333"/>
          <w:sz w:val="24"/>
          <w:szCs w:val="24"/>
          <w:shd w:val="clear" w:color="auto" w:fill="FFFFFF"/>
          <w:lang w:eastAsia="hr-HR"/>
        </w:rPr>
      </w:pPr>
      <w:r>
        <w:rPr>
          <w:sz w:val="24"/>
          <w:szCs w:val="24"/>
        </w:rPr>
        <w:t xml:space="preserve">Dokumentacija koju kandidati trebaju priložiti i dokazi o ispunjavanju uvjeta su:</w:t>
      </w:r>
    </w:p>
    <w:p w14:paraId="6A6D0BB2">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vlastoručno potpisana prijava u kojoj je kandidat dužan navesti osobno ime, adresu stanovanja, broj telefona odnosno mobitela, e-mail adresu na koju će mu biti dostavljena obavijest o datumu, vremenu i načinu procjene, odnosno testiranja i naziv radnog mjesta na koje se prijavljuje</w:t>
      </w:r>
    </w:p>
    <w:p w14:paraId="7466A079">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životopis</w:t>
      </w:r>
    </w:p>
    <w:p w14:paraId="202748FB">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preslika diplome, odnosno dokaza o odgovarajućem stupnju obrazovanja</w:t>
      </w:r>
    </w:p>
    <w:p w14:paraId="1E2784F3">
      <w:pPr>
        <w:numPr>
          <w:ilvl w:val="0"/>
          <w:numId w:val="3"/>
        </w:numPr>
        <w:spacing w:before="30" w:after="30" w:line="240" w:lineRule="auto"/>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državljanstvu (preslika domovnice)</w:t>
      </w:r>
    </w:p>
    <w:p w14:paraId="6D2427DB">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uvjerenje nadležnog suda da podnositelj prijave nije pod istragom i da se protiv podnositelja prijave ne vodi kazneni postupak glede zapreka za zasnivanje radnog odnosa iz članka 106. Zakona s naznakom roka izdavanja, ne starije od dana raspisivanja natječaja</w:t>
      </w:r>
    </w:p>
    <w:p w14:paraId="1F19E4A3">
      <w:pPr>
        <w:numPr>
          <w:ilvl w:val="0"/>
          <w:numId w:val="3"/>
        </w:numPr>
        <w:spacing w:after="0"/>
        <w:ind w:left="714" w:hanging="357"/>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dokaz o ukupnom radnom iskustvu:</w:t>
      </w:r>
    </w:p>
    <w:p w14:paraId="3F65003B">
      <w:pPr>
        <w:spacing w:after="0"/>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a) elektronički zapis ili potvrdu o podacima evidentiranim u bazi podataka Hrvatskog zavoda za mirovinsko osiguranje ili</w:t>
      </w:r>
    </w:p>
    <w:p w14:paraId="20C6A80F">
      <w:pPr>
        <w:spacing/>
        <w:ind w:left="720"/>
        <w:rPr>
          <w:rFonts w:eastAsia="Times New Roman" w:cs="Arial"/>
          <w:noProof w:val="0"/>
          <w:color w:val="333333"/>
          <w:sz w:val="24"/>
          <w:szCs w:val="24"/>
          <w:shd w:val="clear" w:color="auto" w:fill="FFFFFF"/>
          <w:lang w:eastAsia="hr-HR"/>
        </w:rPr>
      </w:pPr>
      <w:r>
        <w:rPr>
          <w:rFonts w:eastAsia="Times New Roman" w:cs="Arial"/>
          <w:noProof w:val="0"/>
          <w:color w:val="333333"/>
          <w:sz w:val="24"/>
          <w:szCs w:val="24"/>
          <w:shd w:val="clear" w:color="auto" w:fill="FFFFFF"/>
          <w:lang w:eastAsia="hr-HR"/>
        </w:rPr>
        <w:t xml:space="preserve">b) ugovor o radu ili rješenje o rasporedu ili potvrdu poslodavca o radnom iskustvu na odgovarajućim poslovima koji mora sadržavati vrstu poslova koju je obavljao, u kojoj stručnoj spremi i vremensko razdoblje u kojem je kand</w:t>
      </w:r>
      <w:r>
        <w:rPr>
          <w:rFonts w:eastAsia="Times New Roman" w:cs="Arial"/>
          <w:noProof w:val="0"/>
          <w:color w:val="333333"/>
          <w:sz w:val="24"/>
          <w:szCs w:val="24"/>
          <w:shd w:val="clear" w:color="auto" w:fill="FFFFFF"/>
          <w:lang w:eastAsia="hr-HR"/>
        </w:rPr>
        <w:t xml:space="preserve">idat obavljao navedene poslova.</w:t>
      </w:r>
    </w:p>
    <w:p w14:paraId="002A0C03">
      <w:pPr>
        <w:pStyle w:val="NoSpacing"/>
        <w:spacing/>
        <w:jc w:val="both"/>
        <w:rPr>
          <w:sz w:val="24"/>
          <w:szCs w:val="24"/>
        </w:rPr>
      </w:pPr>
      <w:r>
        <w:rPr>
          <w:sz w:val="24"/>
          <w:szCs w:val="24"/>
        </w:rPr>
        <w:t xml:space="preserve">Tražena dokumentacija se prilaže u neovjerenoj preslici, te se ista neće vraćati sudionicima natječaja, a prije sklapanja ugovora o radu s izabranim kadnidatom, isti su dužni dostaviti izvornike ili preslike ovjerene</w:t>
      </w:r>
      <w:r>
        <w:rPr/>
        <w:t xml:space="preserve"> </w:t>
      </w:r>
      <w:r>
        <w:rPr>
          <w:sz w:val="24"/>
          <w:szCs w:val="24"/>
        </w:rPr>
        <w:t xml:space="preserve">od strane javnog bilježnika sukladno Zakonu o javnom bilježništvu (Narodne novine broj 78/93, 29/94., 162/98, 16/07, 75/09, 120/16</w:t>
      </w:r>
      <w:r>
        <w:rPr>
          <w:sz w:val="24"/>
          <w:szCs w:val="24"/>
        </w:rPr>
        <w:t xml:space="preserve">, 57/22</w:t>
      </w:r>
      <w:r>
        <w:rPr>
          <w:sz w:val="24"/>
          <w:szCs w:val="24"/>
        </w:rPr>
        <w:t xml:space="preserve">). </w:t>
      </w:r>
    </w:p>
    <w:p w14:paraId="681B8A48">
      <w:pPr>
        <w:pStyle w:val="NoSpacing"/>
        <w:spacing/>
        <w:jc w:val="both"/>
        <w:rPr>
          <w:sz w:val="24"/>
          <w:szCs w:val="24"/>
        </w:rPr>
      </w:pPr>
    </w:p>
    <w:p w14:paraId="0394D908">
      <w:pPr>
        <w:pStyle w:val="NoSpacing"/>
        <w:spacing/>
        <w:jc w:val="both"/>
        <w:rPr>
          <w:sz w:val="24"/>
          <w:szCs w:val="24"/>
        </w:rPr>
      </w:pPr>
      <w:r>
        <w:rPr>
          <w:sz w:val="24"/>
          <w:szCs w:val="24"/>
        </w:rPr>
        <w:t xml:space="preserve">Osobe koje se pozivaju na pravo prednosti sukladno članku 102. Zakona o hrvatskim braniteljima iz Domovinskog rata i članovima njihovih obitelji (Narodne novine 121/17, 98/19, 84/21</w:t>
      </w:r>
      <w:r>
        <w:rPr>
          <w:sz w:val="24"/>
          <w:szCs w:val="24"/>
        </w:rPr>
        <w:t xml:space="preserve">, 156/23</w:t>
      </w:r>
      <w:r>
        <w:rPr>
          <w:sz w:val="24"/>
          <w:szCs w:val="24"/>
        </w:rPr>
        <w:t xml:space="preserve">),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0056C6DA">
      <w:pPr>
        <w:pStyle w:val="NoSpacing"/>
        <w:spacing/>
        <w:jc w:val="both"/>
        <w:rPr>
          <w:sz w:val="24"/>
          <w:szCs w:val="24"/>
        </w:rPr>
      </w:pPr>
    </w:p>
    <w:p w14:paraId="1C173C7D">
      <w:pPr>
        <w:pStyle w:val="NoSpacing"/>
        <w:spacing/>
        <w:jc w:val="both"/>
        <w:rPr>
          <w:sz w:val="24"/>
          <w:szCs w:val="24"/>
        </w:rPr>
      </w:pPr>
      <w:r>
        <w:rPr>
          <w:sz w:val="24"/>
          <w:szCs w:val="24"/>
        </w:rPr>
        <w:t xml:space="preserve">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14:paraId="42785018">
      <w:pPr>
        <w:pStyle w:val="NoSpacing"/>
        <w:spacing/>
        <w:jc w:val="both"/>
        <w:rPr>
          <w:sz w:val="24"/>
          <w:szCs w:val="24"/>
        </w:rPr>
      </w:pPr>
      <w:r>
        <w:rPr>
          <w:sz w:val="24"/>
          <w:szCs w:val="24"/>
        </w:rPr>
        <w:t xml:space="preserve">Poveznica na internetsku stranicu Ministarstva hrvatskih branitelja s popisom dokaza potrebnih za ostvarivanja prava prednosti: </w:t>
      </w:r>
    </w:p>
    <w:p w14:paraId="1CA571ED">
      <w:pPr>
        <w:pStyle w:val="NoSpacing"/>
        <w:spacing/>
        <w:jc w:val="both"/>
        <w:rPr>
          <w:sz w:val="24"/>
          <w:szCs w:val="24"/>
        </w:rPr>
      </w:pPr>
      <w:r>
        <w:rPr/>
        <w:fldChar w:fldCharType="begin"/>
      </w:r>
      <w:r>
        <w:rPr/>
        <w:instrText xml:space="preserve">HYPERLINK "https://branitelji.gov.hr/UserDocsImages/dokumenti/Nikola/popis%20dokaza%20za%20ostvarivanje%20prava%20prednosti%20pri%20zapo%C5%A1ljavanju-%20ZOHBDR%202021.pdf" </w:instrText>
      </w:r>
      <w:r>
        <w:rPr/>
        <w:fldChar w:fldCharType="separate"/>
      </w:r>
      <w:r>
        <w:rPr>
          <w:rStyle w:val="Hyperlink"/>
        </w:rPr>
        <w:t xml:space="preserve">https://branitelji.gov.hr/UserDocsImages//dokumenti/Nikola//popis%20dokaza%20za%20ostvarivanje%20prava%20prednosti%20pri%20zapo%C5%A1ljavanju-%20ZOHBDR%202021.pdf</w:t>
      </w:r>
      <w:r>
        <w:rPr/>
        <w:fldChar w:fldCharType="end"/>
      </w:r>
    </w:p>
    <w:p w14:paraId="12105656">
      <w:pPr>
        <w:pStyle w:val="NoSpacing"/>
        <w:spacing/>
        <w:jc w:val="both"/>
        <w:rPr>
          <w:sz w:val="24"/>
          <w:szCs w:val="24"/>
        </w:rPr>
      </w:pPr>
    </w:p>
    <w:p w14:paraId="17CCCE6D">
      <w:pPr>
        <w:pStyle w:val="NoSpacing"/>
        <w:spacing/>
        <w:jc w:val="both"/>
        <w:rPr>
          <w:sz w:val="24"/>
          <w:szCs w:val="24"/>
        </w:rPr>
      </w:pPr>
      <w:r>
        <w:rPr>
          <w:sz w:val="24"/>
          <w:szCs w:val="24"/>
        </w:rPr>
        <w:t xml:space="preserve">Osobe koje ostvaruju pravo prednosti pri zapošljavanju u skladu s člankom 48. Zakona o civilnim stradalnicima iz Domovinskog rata (Narodne novine broj  84/21), dužne su u prijavi na natječaj pozvati se na to pravo i uz prijavu dostaviti i dokaze iz stavka 1. članka 49. Zakona o civilnim stradalnicima iz Domovinskog rata.</w:t>
      </w:r>
    </w:p>
    <w:p w14:paraId="2717F361">
      <w:pPr>
        <w:pStyle w:val="NoSpacing"/>
        <w:spacing/>
        <w:jc w:val="both"/>
        <w:rPr>
          <w:sz w:val="24"/>
          <w:szCs w:val="24"/>
        </w:rPr>
      </w:pPr>
      <w:r>
        <w:rPr>
          <w:sz w:val="24"/>
          <w:szCs w:val="24"/>
        </w:rPr>
        <w:t xml:space="preserve">Poveznica na internetsku stranicu Ministarstva hrvatskih branitelja s popisom dokaza potrebnih za ostvarivanja prava prednosti:</w:t>
      </w:r>
    </w:p>
    <w:p w14:paraId="5CE0AA87">
      <w:pPr>
        <w:pStyle w:val="NoSpacing"/>
        <w:spacing/>
        <w:jc w:val="both"/>
        <w:rPr>
          <w:sz w:val="24"/>
          <w:szCs w:val="24"/>
        </w:rPr>
      </w:pPr>
      <w:r>
        <w:rPr>
          <w:sz w:val="24"/>
          <w:szCs w:val="24"/>
        </w:rPr>
        <w:t xml:space="preserve"> </w:t>
      </w:r>
      <w:r>
        <w:rPr/>
        <w:fldChar w:fldCharType="begin"/>
      </w:r>
      <w:r>
        <w:rPr/>
        <w:instrText xml:space="preserve">HYPERLINK "https://branitelji.gov.hr/UserDocsImages/dokumenti/Nikola/popis%20dokaza%20za%20ostvarivanje%20prava%20prednosti%20pri%20zapo%C5%A1ljavanju-%20Zakon%20o%20civilnim%20stradalnicima%20iz%20DR.pdf" </w:instrText>
      </w:r>
      <w:r>
        <w:rPr/>
        <w:fldChar w:fldCharType="separate"/>
      </w:r>
      <w:r>
        <w:rPr>
          <w:rStyle w:val="Hyperlink"/>
        </w:rPr>
        <w:t xml:space="preserve">https://branitelji.gov.hr/UserDocsImages//dokumenti/Nikola//popis%20dokaza%20za%20ostvarivanje%20prava%20prednosti%20pri%20zapo%C5%A1ljavanju-%20Zakon%20o%20civilnim%20stradalnicima%20iz%20DR.pdf</w:t>
      </w:r>
      <w:r>
        <w:rPr/>
        <w:fldChar w:fldCharType="end"/>
      </w:r>
    </w:p>
    <w:p w14:paraId="31FAD22A">
      <w:pPr>
        <w:pStyle w:val="NoSpacing"/>
        <w:spacing/>
        <w:jc w:val="both"/>
        <w:rPr>
          <w:sz w:val="24"/>
          <w:szCs w:val="24"/>
        </w:rPr>
      </w:pPr>
    </w:p>
    <w:p w14:paraId="7E5D55EB">
      <w:pPr>
        <w:pStyle w:val="NoSpacing"/>
        <w:spacing/>
        <w:jc w:val="both"/>
        <w:rPr>
          <w:sz w:val="24"/>
          <w:szCs w:val="24"/>
        </w:rPr>
      </w:pPr>
      <w:r>
        <w:rPr>
          <w:sz w:val="24"/>
          <w:szCs w:val="24"/>
        </w:rPr>
        <w:t xml:space="preserve">Urednom prijavom smatra se prijava koja sadrži sve podatke i priloge navedene u natječaju.</w:t>
      </w:r>
    </w:p>
    <w:p w14:paraId="5DB60F35">
      <w:pPr>
        <w:pStyle w:val="NoSpacing"/>
        <w:spacing/>
        <w:jc w:val="both"/>
        <w:rPr>
          <w:sz w:val="24"/>
          <w:szCs w:val="24"/>
        </w:rPr>
      </w:pPr>
    </w:p>
    <w:p w14:paraId="2C724164">
      <w:pPr>
        <w:pStyle w:val="NoSpacing"/>
        <w:spacing/>
        <w:jc w:val="both"/>
        <w:rPr>
          <w:sz w:val="24"/>
          <w:szCs w:val="24"/>
        </w:rPr>
      </w:pPr>
      <w:r>
        <w:rPr>
          <w:sz w:val="24"/>
          <w:szCs w:val="24"/>
        </w:rPr>
        <w:t xml:space="preserve">Kandidati koji su pravodobno podnijeli vlastoručnu potpisanu prijavu te ispunjavaju uvjete natječaja dužni su pristupiti procjeni odnosno testiranju sukladno odredbama Pravilnika o </w:t>
      </w:r>
      <w:r>
        <w:rPr>
          <w:sz w:val="24"/>
          <w:szCs w:val="24"/>
        </w:rPr>
        <w:t xml:space="preserve">postupku zapošljavanja te procjeni i vrednovanju kandidata za zapošljavanje u OŠ Selca (nalazi se na Web stranici škole u mapi </w:t>
      </w:r>
      <w:r>
        <w:rPr>
          <w:sz w:val="24"/>
          <w:szCs w:val="24"/>
        </w:rPr>
        <w:t xml:space="preserve">''Dokumenti''</w:t>
      </w:r>
      <w:r>
        <w:rPr>
          <w:sz w:val="24"/>
          <w:szCs w:val="24"/>
        </w:rPr>
        <w:t xml:space="preserve">)</w:t>
      </w:r>
    </w:p>
    <w:p w14:paraId="536138E8">
      <w:pPr>
        <w:pStyle w:val="NoSpacing"/>
        <w:spacing/>
        <w:jc w:val="both"/>
        <w:rPr>
          <w:sz w:val="24"/>
          <w:szCs w:val="24"/>
        </w:rPr>
      </w:pPr>
      <w:r>
        <w:rPr/>
        <w:fldChar w:fldCharType="begin"/>
      </w:r>
      <w:r>
        <w:rPr/>
        <w:instrText xml:space="preserve">HYPERLINK "https://os-selca.skole.hr/opci-akti/" </w:instrText>
      </w:r>
      <w:r>
        <w:rPr/>
        <w:fldChar w:fldCharType="separate"/>
      </w:r>
      <w:r>
        <w:rPr>
          <w:rStyle w:val="Hyperlink"/>
          <w:sz w:val="24"/>
          <w:szCs w:val="24"/>
        </w:rPr>
        <w:t xml:space="preserve">https://os-selca.skole.hr/opci-akti/</w:t>
      </w:r>
      <w:r>
        <w:rPr/>
        <w:fldChar w:fldCharType="end"/>
      </w:r>
      <w:r>
        <w:rPr>
          <w:sz w:val="24"/>
          <w:szCs w:val="24"/>
        </w:rPr>
        <w:t xml:space="preserve"> </w:t>
      </w:r>
      <w:r>
        <w:rPr>
          <w:sz w:val="24"/>
          <w:szCs w:val="24"/>
        </w:rPr>
        <w:t xml:space="preserve">ukoliko se prema odluci Povjerenstva isto bude provodilo.</w:t>
      </w:r>
    </w:p>
    <w:p w14:paraId="53D0FAFD">
      <w:pPr>
        <w:pStyle w:val="NoSpacing"/>
        <w:spacing/>
        <w:jc w:val="both"/>
        <w:rPr>
          <w:sz w:val="24"/>
          <w:szCs w:val="24"/>
        </w:rPr>
      </w:pPr>
    </w:p>
    <w:p w14:paraId="1339AC88">
      <w:pPr>
        <w:pStyle w:val="NoSpacing"/>
        <w:spacing/>
        <w:jc w:val="both"/>
        <w:rPr>
          <w:sz w:val="24"/>
          <w:szCs w:val="24"/>
        </w:rPr>
      </w:pPr>
      <w:r>
        <w:rPr>
          <w:sz w:val="24"/>
          <w:szCs w:val="24"/>
        </w:rPr>
        <w:t xml:space="preserve">Način procjene odnosno testiranje kandidata ukoliko se isto bude provodilo, kao i pravni i drugi izvori za pripremu kandidata objavit će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r>
        <w:rPr>
          <w:sz w:val="24"/>
          <w:szCs w:val="24"/>
        </w:rPr>
        <w:t xml:space="preserve">(u mapi</w:t>
      </w:r>
      <w:r>
        <w:rPr>
          <w:sz w:val="24"/>
          <w:szCs w:val="24"/>
        </w:rPr>
        <w:t xml:space="preserve"> Oglasna ploča</w:t>
      </w:r>
      <w:r>
        <w:rPr>
          <w:sz w:val="24"/>
          <w:szCs w:val="24"/>
        </w:rPr>
        <w:t xml:space="preserve">) osam dana nakon isteka roka za podnošenje prijave na natječaj. Poziv na pristupanje procjeni odnosno testiranju, putem elektroničke pošte dostavlja se najkasnije pet dana prije dana testiranja/procjene onim kandidatima/kandidatkinjama koji su pravodobno podnijeli potpunu vlastoručno potpisanu prijavu te ispunjavaju uvjete natječaja, odnosno Zakonske uvjete za zasnivanje radnog odnosa i objavljuje se na mrežnim stranicama škole </w:t>
      </w:r>
      <w:r>
        <w:rPr/>
        <w:fldChar w:fldCharType="begin"/>
      </w:r>
      <w:r>
        <w:rPr/>
        <w:instrText xml:space="preserve">HYPERLINK "https://os-selca.skole.hr/natjecaj-za-radna-mjesta/" </w:instrText>
      </w:r>
      <w:r>
        <w:rPr/>
        <w:fldChar w:fldCharType="separate"/>
      </w:r>
      <w:r>
        <w:rPr>
          <w:rStyle w:val="Hyperlink"/>
          <w:sz w:val="24"/>
          <w:szCs w:val="24"/>
        </w:rPr>
        <w:t xml:space="preserve">https://os-selca.skole.hr/natjecaj-za-radna-mjesta/</w:t>
      </w:r>
      <w:r>
        <w:rPr/>
        <w:fldChar w:fldCharType="end"/>
      </w:r>
      <w:r>
        <w:rPr>
          <w:sz w:val="24"/>
          <w:szCs w:val="24"/>
        </w:rPr>
        <w:t xml:space="preserve"> .</w:t>
      </w:r>
    </w:p>
    <w:p w14:paraId="269C911C">
      <w:pPr>
        <w:pStyle w:val="NoSpacing"/>
        <w:spacing/>
        <w:jc w:val="both"/>
        <w:rPr>
          <w:sz w:val="24"/>
          <w:szCs w:val="24"/>
        </w:rPr>
      </w:pPr>
      <w:r>
        <w:rPr>
          <w:sz w:val="24"/>
          <w:szCs w:val="24"/>
        </w:rPr>
        <w:t xml:space="preserve">Ukoliko kadidat ne pristupi procjeni odnosno testiranju smatra se da je odustao od prijave za natječaj.</w:t>
      </w:r>
    </w:p>
    <w:p w14:paraId="5F779F62">
      <w:pPr>
        <w:pStyle w:val="NoSpacing"/>
        <w:spacing/>
        <w:jc w:val="both"/>
        <w:rPr>
          <w:sz w:val="24"/>
          <w:szCs w:val="24"/>
        </w:rPr>
      </w:pPr>
    </w:p>
    <w:p w14:paraId="0B2A65FF">
      <w:pPr>
        <w:pStyle w:val="NoSpacing"/>
        <w:spacing/>
        <w:jc w:val="both"/>
        <w:rPr>
          <w:sz w:val="24"/>
          <w:szCs w:val="24"/>
        </w:rPr>
      </w:pPr>
      <w:r>
        <w:rPr>
          <w:sz w:val="24"/>
          <w:szCs w:val="24"/>
        </w:rPr>
        <w:t xml:space="preserve">Radni odnos u Školi ne može zasnovati osoba za koju postoje zapreke iz članka 106. Zakona o odgoju i obrazovanju u osnovnoj i srednjoj školi („ Narodne novine“, br. 87/08, 86/09, 92/10, 105/10, 90/11, 16/12 ,86/12, 94/1</w:t>
      </w:r>
      <w:r>
        <w:rPr>
          <w:sz w:val="24"/>
          <w:szCs w:val="24"/>
        </w:rPr>
        <w:t xml:space="preserve">3, 152/14, 7/17, 68/18, 98/19, </w:t>
      </w:r>
      <w:r>
        <w:rPr>
          <w:sz w:val="24"/>
          <w:szCs w:val="24"/>
        </w:rPr>
        <w:t xml:space="preserve">64/20</w:t>
      </w:r>
      <w:r>
        <w:rPr>
          <w:sz w:val="24"/>
          <w:szCs w:val="24"/>
        </w:rPr>
        <w:t xml:space="preserve">, 151/22, 156/23</w:t>
      </w:r>
      <w:r>
        <w:rPr>
          <w:sz w:val="24"/>
          <w:szCs w:val="24"/>
        </w:rPr>
        <w:t xml:space="preserve">).</w:t>
      </w:r>
    </w:p>
    <w:p w14:paraId="7497909F">
      <w:pPr>
        <w:pStyle w:val="NoSpacing"/>
        <w:spacing/>
        <w:jc w:val="both"/>
        <w:rPr>
          <w:sz w:val="24"/>
          <w:szCs w:val="24"/>
        </w:rPr>
      </w:pPr>
    </w:p>
    <w:p w14:paraId="75940B4F">
      <w:pPr>
        <w:pStyle w:val="NoSpacing"/>
        <w:spacing/>
        <w:jc w:val="both"/>
        <w:rPr>
          <w:sz w:val="24"/>
          <w:szCs w:val="24"/>
        </w:rPr>
      </w:pPr>
      <w:r>
        <w:rPr>
          <w:sz w:val="24"/>
          <w:szCs w:val="24"/>
        </w:rPr>
        <w:t xml:space="preserve">Kandidat koj</w:t>
      </w:r>
      <w:r>
        <w:rPr>
          <w:sz w:val="24"/>
          <w:szCs w:val="24"/>
        </w:rPr>
        <w:t xml:space="preserve">i </w:t>
      </w:r>
      <w:r>
        <w:rPr>
          <w:sz w:val="24"/>
          <w:szCs w:val="24"/>
        </w:rPr>
        <w:t xml:space="preserve"> se ne odazove bilo kojem od postupaka vrednovanja na koji se treba odazvati, odnosno na koje je pozvan, smatrat će se da je odustao od prijave na natječaj te se njegova prijava neće uzimati u obzir u daljnjem postupku.</w:t>
      </w:r>
    </w:p>
    <w:p w14:paraId="4B82D71A">
      <w:pPr>
        <w:pStyle w:val="NoSpacing"/>
        <w:spacing/>
        <w:jc w:val="both"/>
        <w:rPr>
          <w:sz w:val="24"/>
          <w:szCs w:val="24"/>
        </w:rPr>
      </w:pPr>
    </w:p>
    <w:p w14:paraId="7582CE98">
      <w:pPr>
        <w:pStyle w:val="NoSpacing"/>
        <w:spacing/>
        <w:jc w:val="both"/>
        <w:rPr>
          <w:sz w:val="24"/>
          <w:szCs w:val="24"/>
        </w:rPr>
      </w:pPr>
      <w:r>
        <w:rPr>
          <w:sz w:val="24"/>
          <w:szCs w:val="24"/>
        </w:rPr>
        <w:t xml:space="preserve">U skladu s uredbom Europske unije 2016/679 Europskog parlamenta i Vijeća od 17.travnja 2016. godine te Zakonom o provedbi Opće uredbe o zaštiti podataka (NN 42/18) prijavom na natječaj osoba daje privolu Osnovnoj školi Selca za prikupljanje i obradu podataka natječajne dokumentacije, a sve u svrhu provedbe natječaja za zapošljavanje.</w:t>
      </w:r>
    </w:p>
    <w:p w14:paraId="363C885E">
      <w:pPr>
        <w:pStyle w:val="NoSpacing"/>
        <w:spacing/>
        <w:jc w:val="both"/>
        <w:rPr>
          <w:sz w:val="24"/>
          <w:szCs w:val="24"/>
        </w:rPr>
      </w:pPr>
      <w:r>
        <w:rPr>
          <w:sz w:val="24"/>
          <w:szCs w:val="24"/>
        </w:rPr>
        <w:t xml:space="preserve">Nepotpune i nepravodobne prijave neće se razmatrati.</w:t>
      </w:r>
    </w:p>
    <w:p w14:paraId="4B484E65">
      <w:pPr>
        <w:pStyle w:val="NoSpacing"/>
        <w:spacing/>
        <w:jc w:val="both"/>
        <w:rPr>
          <w:sz w:val="24"/>
          <w:szCs w:val="24"/>
        </w:rPr>
      </w:pPr>
      <w:r>
        <w:rPr>
          <w:sz w:val="24"/>
          <w:szCs w:val="24"/>
        </w:rPr>
        <w:t xml:space="preserve">Kandidati će o rezultatima natječaja biti obaviješteni sukladno odredbama članka 23. Pravilnika o postupku zapošljavanja te procjeni i vrednovanju kandidata za zapošljavanje u Osnovnoj školi Selca</w:t>
      </w:r>
      <w:r>
        <w:rPr/>
        <w:t xml:space="preserve"> </w:t>
      </w:r>
      <w:r>
        <w:rPr/>
        <w:fldChar w:fldCharType="begin"/>
      </w:r>
      <w:r>
        <w:rPr/>
        <w:instrText xml:space="preserve">HYPERLINK "https://os-selca.skole.hr/natjecaj-za-radna-mjesta/" </w:instrText>
      </w:r>
      <w:r>
        <w:rPr/>
        <w:fldChar w:fldCharType="separate"/>
      </w:r>
      <w:r>
        <w:rPr>
          <w:rStyle w:val="Hyperlink"/>
        </w:rPr>
        <w:t xml:space="preserve">https://os-selca.skole.hr/natjecaj-za-radna-mjesta/</w:t>
      </w:r>
      <w:r>
        <w:rPr/>
        <w:fldChar w:fldCharType="end"/>
      </w:r>
      <w:r>
        <w:rPr/>
        <w:t xml:space="preserve"> </w:t>
      </w:r>
      <w:r>
        <w:rPr>
          <w:sz w:val="24"/>
          <w:szCs w:val="24"/>
        </w:rPr>
        <w:t xml:space="preserve">ili putem zemaljske pošte.</w:t>
      </w:r>
    </w:p>
    <w:p w14:paraId="2FF46723">
      <w:pPr>
        <w:pStyle w:val="NoSpacing"/>
        <w:spacing/>
        <w:jc w:val="both"/>
        <w:rPr>
          <w:sz w:val="24"/>
          <w:szCs w:val="24"/>
        </w:rPr>
      </w:pPr>
    </w:p>
    <w:p w14:paraId="4E257983">
      <w:pPr>
        <w:pStyle w:val="NoSpacing"/>
        <w:spacing/>
        <w:jc w:val="both"/>
        <w:rPr>
          <w:sz w:val="24"/>
          <w:szCs w:val="24"/>
        </w:rPr>
      </w:pPr>
      <w:r>
        <w:rPr>
          <w:sz w:val="24"/>
          <w:szCs w:val="24"/>
        </w:rPr>
        <w:t xml:space="preserve">Prijave dostaviti u roku od osam dana od dana objave natječaja osobno ili zemaljskom poštom na adresu: </w:t>
      </w:r>
    </w:p>
    <w:p w14:paraId="0EB38197">
      <w:pPr>
        <w:pStyle w:val="NoSpacing"/>
        <w:spacing/>
        <w:jc w:val="both"/>
        <w:rPr>
          <w:b/>
          <w:sz w:val="24"/>
          <w:szCs w:val="24"/>
        </w:rPr>
      </w:pPr>
      <w:r>
        <w:rPr>
          <w:b/>
          <w:sz w:val="24"/>
          <w:szCs w:val="24"/>
        </w:rPr>
        <w:t xml:space="preserve">Osnovna škola Selca, Šetalište Rajka Štambuka 2, 21425 Selca </w:t>
      </w:r>
    </w:p>
    <w:p w14:paraId="177F4005">
      <w:pPr>
        <w:pStyle w:val="NoSpacing"/>
        <w:spacing/>
        <w:jc w:val="both"/>
        <w:rPr>
          <w:sz w:val="24"/>
          <w:szCs w:val="24"/>
        </w:rPr>
      </w:pPr>
      <w:r>
        <w:rPr>
          <w:b/>
          <w:sz w:val="24"/>
          <w:szCs w:val="24"/>
        </w:rPr>
        <w:t xml:space="preserve">„za natječaj – učitelj/ica </w:t>
      </w:r>
      <w:r>
        <w:rPr>
          <w:b/>
          <w:sz w:val="24"/>
          <w:szCs w:val="24"/>
        </w:rPr>
        <w:t xml:space="preserve">matematike</w:t>
      </w:r>
      <w:r>
        <w:rPr>
          <w:b/>
          <w:sz w:val="24"/>
          <w:szCs w:val="24"/>
        </w:rPr>
        <w:t xml:space="preserve">“</w:t>
      </w:r>
      <w:r>
        <w:rPr>
          <w:sz w:val="24"/>
          <w:szCs w:val="24"/>
        </w:rPr>
        <w:t xml:space="preserve">.</w:t>
      </w:r>
    </w:p>
    <w:p w14:paraId="15721C2F">
      <w:pPr>
        <w:spacing w:before="30" w:after="30" w:line="240" w:lineRule="auto"/>
        <w:jc w:val="both"/>
        <w:rPr>
          <w:rFonts w:eastAsia="Times New Roman"/>
          <w:b/>
          <w:noProof w:val="0"/>
          <w:sz w:val="24"/>
          <w:szCs w:val="24"/>
          <w:lang w:eastAsia="hr-HR"/>
        </w:rPr>
      </w:pPr>
      <w:r>
        <w:rPr>
          <w:rFonts w:eastAsia="Times New Roman"/>
          <w:b/>
          <w:noProof w:val="0"/>
          <w:sz w:val="24"/>
          <w:szCs w:val="24"/>
          <w:lang w:eastAsia="hr-HR"/>
        </w:rPr>
        <w:t xml:space="preserve">___________________</w:t>
      </w:r>
      <w:r>
        <w:rPr>
          <w:rFonts w:eastAsia="Times New Roman"/>
          <w:b/>
          <w:noProof w:val="0"/>
          <w:sz w:val="24"/>
          <w:szCs w:val="24"/>
          <w:lang w:eastAsia="hr-HR"/>
        </w:rPr>
        <w:t xml:space="preserve">__</w:t>
      </w:r>
      <w:r>
        <w:rPr>
          <w:rFonts w:eastAsia="Times New Roman"/>
          <w:b/>
          <w:noProof w:val="0"/>
          <w:sz w:val="24"/>
          <w:szCs w:val="24"/>
          <w:lang w:eastAsia="hr-HR"/>
        </w:rPr>
        <w:t xml:space="preserve">______________________________________________________</w:t>
      </w:r>
    </w:p>
    <w:p w14:paraId="55B00200">
      <w:pPr>
        <w:spacing w:before="30" w:after="30" w:line="240" w:lineRule="auto"/>
        <w:rPr>
          <w:rFonts w:eastAsia="Times New Roman"/>
          <w:noProof w:val="0"/>
          <w:sz w:val="24"/>
          <w:szCs w:val="24"/>
          <w:lang w:eastAsia="hr-HR"/>
        </w:rPr>
      </w:pPr>
    </w:p>
    <w:p w14:paraId="5C49AC6A">
      <w:pPr>
        <w:spacing w:before="30" w:after="30" w:line="240" w:lineRule="auto"/>
        <w:rPr>
          <w:rFonts w:eastAsia="Times New Roman"/>
          <w:noProof w:val="0"/>
          <w:sz w:val="24"/>
          <w:szCs w:val="24"/>
          <w:lang w:eastAsia="hr-HR"/>
        </w:rPr>
      </w:pPr>
      <w:r>
        <w:rPr>
          <w:rFonts w:eastAsia="Times New Roman"/>
          <w:noProof w:val="0"/>
          <w:sz w:val="24"/>
          <w:szCs w:val="24"/>
          <w:lang w:eastAsia="hr-HR"/>
        </w:rPr>
        <w:t xml:space="preserve">Natječaj je objavljen na mrežnim stranicama i oglasnoj ploči Hrvatskog zavoda za zapošljavanje te mrežnim stanicam</w:t>
      </w:r>
      <w:r>
        <w:rPr>
          <w:rFonts w:eastAsia="Times New Roman"/>
          <w:noProof w:val="0"/>
          <w:sz w:val="24"/>
          <w:szCs w:val="24"/>
          <w:lang w:eastAsia="hr-HR"/>
        </w:rPr>
        <w:t xml:space="preserve">a i oglasnoj ploči škole dana </w:t>
      </w:r>
      <w:r>
        <w:rPr>
          <w:rFonts w:eastAsia="Times New Roman"/>
          <w:noProof w:val="0"/>
          <w:sz w:val="24"/>
          <w:szCs w:val="24"/>
          <w:lang w:eastAsia="hr-HR"/>
        </w:rPr>
        <w:t xml:space="preserve">12</w:t>
      </w:r>
      <w:r>
        <w:rPr>
          <w:rFonts w:eastAsia="Times New Roman"/>
          <w:noProof w:val="0"/>
          <w:sz w:val="24"/>
          <w:szCs w:val="24"/>
          <w:lang w:eastAsia="hr-HR"/>
        </w:rPr>
        <w:t xml:space="preserve">. listopada 2026</w:t>
      </w:r>
      <w:r>
        <w:rPr>
          <w:rFonts w:eastAsia="Times New Roman"/>
          <w:noProof w:val="0"/>
          <w:sz w:val="24"/>
          <w:szCs w:val="24"/>
          <w:lang w:eastAsia="hr-HR"/>
        </w:rPr>
        <w:t xml:space="preserve">. i traje do </w:t>
      </w:r>
      <w:r>
        <w:rPr>
          <w:rFonts w:eastAsia="Times New Roman"/>
          <w:noProof w:val="0"/>
          <w:sz w:val="24"/>
          <w:szCs w:val="24"/>
          <w:lang w:eastAsia="hr-HR"/>
        </w:rPr>
        <w:t xml:space="preserve">20</w:t>
      </w:r>
      <w:r>
        <w:rPr>
          <w:rFonts w:eastAsia="Times New Roman"/>
          <w:noProof w:val="0"/>
          <w:sz w:val="24"/>
          <w:szCs w:val="24"/>
          <w:lang w:eastAsia="hr-HR"/>
        </w:rPr>
        <w:t xml:space="preserve">. listopada 2026.</w:t>
      </w:r>
      <w:r>
        <w:rPr>
          <w:rFonts w:eastAsia="Times New Roman"/>
          <w:noProof w:val="0"/>
          <w:sz w:val="24"/>
          <w:szCs w:val="24"/>
          <w:lang w:eastAsia="hr-HR"/>
        </w:rPr>
        <w:t xml:space="preserve"> godine.</w:t>
      </w:r>
    </w:p>
    <w:p w14:paraId="1168465D">
      <w:pPr>
        <w:spacing w:before="30" w:after="30" w:line="240" w:lineRule="auto"/>
        <w:rPr>
          <w:rFonts w:eastAsia="Times New Roman"/>
          <w:noProof w:val="0"/>
          <w:sz w:val="24"/>
          <w:szCs w:val="24"/>
          <w:lang w:eastAsia="hr-HR"/>
        </w:rPr>
      </w:pPr>
    </w:p>
    <w:p w14:paraId="686007D1">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Ravnatelj</w:t>
      </w:r>
      <w:r>
        <w:rPr>
          <w:rFonts w:eastAsia="Times New Roman"/>
          <w:noProof w:val="0"/>
          <w:sz w:val="24"/>
          <w:szCs w:val="24"/>
          <w:lang w:eastAsia="hr-HR"/>
        </w:rPr>
        <w:t xml:space="preserve">ica</w:t>
      </w:r>
      <w:r>
        <w:rPr>
          <w:rFonts w:eastAsia="Times New Roman"/>
          <w:noProof w:val="0"/>
          <w:sz w:val="24"/>
          <w:szCs w:val="24"/>
          <w:lang w:eastAsia="hr-HR"/>
        </w:rPr>
        <w:t xml:space="preserve">:</w:t>
      </w:r>
    </w:p>
    <w:p w14:paraId="4718D94E">
      <w:pPr>
        <w:spacing w:before="30" w:after="30" w:line="240" w:lineRule="auto"/>
        <w:jc w:val="right"/>
        <w:rPr>
          <w:rFonts w:eastAsia="Times New Roman"/>
          <w:noProof w:val="0"/>
          <w:sz w:val="24"/>
          <w:szCs w:val="24"/>
          <w:lang w:eastAsia="hr-HR"/>
        </w:rPr>
      </w:pPr>
      <w:r>
        <w:rPr>
          <w:rFonts w:eastAsia="Times New Roman"/>
          <w:noProof w:val="0"/>
          <w:sz w:val="24"/>
          <w:szCs w:val="24"/>
          <w:lang w:eastAsia="hr-HR"/>
        </w:rPr>
        <w:t xml:space="preserve">Silvana Kovačić Ursić, dipl.ing.građ.</w:t>
      </w:r>
    </w:p>
    <w:sectPr>
      <w:type w:val="nextPage"/>
      <w:pgSz w:w="11907" w:h="16839"/>
      <w:pgMar w:top="1417" w:right="1417" w:bottom="1134" w:left="1417" w:header="709" w:footer="709" w:gutter="0"/>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charset w:val="0"/>
    <w:family w:val="swiss"/>
    <w:pitch w:val="variable"/>
    <w:sig w:usb0="E0002EFF" w:usb1="C000785B" w:usb2="00000009" w:usb3="00000000" w:csb0="000001FF" w:csb1="00000000"/>
  </w:font>
  <w:font w:name="Times New Roman">
    <w:charset w:val="0"/>
    <w:family w:val="roman"/>
    <w:pitch w:val="variable"/>
    <w:sig w:usb0="E0002EFF" w:usb1="C000785B" w:usb2="00000009" w:usb3="00000000" w:csb0="000001FF" w:csb1="00000000"/>
  </w:font>
  <w:font w:name="Courier New">
    <w:charset w:val="0"/>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Symbol">
    <w:charset w:val="2"/>
    <w:family w:val="roman"/>
    <w:pitch w:val="variable"/>
    <w:sig w:usb0="00000000" w:usb1="10000000" w:usb2="00000000" w:usb3="00000000" w:csb0="80000000" w:csb1="00000000"/>
  </w:font>
  <w:font w:name="Calibri">
    <w:charset w:val="0"/>
    <w:family w:val="swiss"/>
    <w:pitch w:val="variable"/>
    <w:sig w:usb0="E4002EFF" w:usb1="C200247B" w:usb2="00000009" w:usb3="00000000" w:csb0="000001FF" w:csb1="00000000"/>
  </w:font>
  <w:font w:name="Tahoma">
    <w:charset w:val="0"/>
    <w:family w:val="swiss"/>
    <w:pitch w:val="variable"/>
    <w:sig w:usb0="E1002EFF" w:usb1="C000605B" w:usb2="00000029" w:usb3="00000000" w:csb0="000101FF" w:csb1="00000000"/>
  </w:font>
  <w:font w:name="Calibri Light">
    <w:charset w:val="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DA7A08"/>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1">
    <w:nsid w:val="1C98294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cs="Times New Roman"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2EFF194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
    <w:nsid w:val="37876CA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
    <w:nsid w:val="41075DB9"/>
    <w:lvl w:ilvl="0">
      <w:start w:val="2"/>
      <w:numFmt w:val="bullet"/>
      <w:suff w:val="tab"/>
      <w:lvlText w:val="-"/>
      <w:pPr>
        <w:spacing/>
        <w:ind w:left="720" w:hanging="360"/>
      </w:pPr>
      <w:rPr>
        <w:rFonts w:ascii="Arial" w:hAnsi="Arial" w:eastAsia="Times New Roman" w:cs="Arial" w:hint="default"/>
      </w:rPr>
    </w:lvl>
    <w:lvl w:ilvl="1">
      <w:start w:val="1"/>
      <w:numFmt w:val="bullet"/>
      <w:suff w:val="tab"/>
      <w:lvlText w:val="o"/>
      <w:pPr>
        <w:spacing/>
        <w:ind w:left="1440" w:hanging="360"/>
      </w:pPr>
      <w:rPr>
        <w:rFonts w:ascii="Courier New" w:hAnsi="Courier New" w:cs="Courier New" w:hint="default"/>
      </w:rPr>
    </w:lvl>
    <w:lvl w:ilvl="2">
      <w:start w:val="1"/>
      <w:numFmt w:val="bullet"/>
      <w:suff w:val="tab"/>
      <w:lvlText w:val=""/>
      <w:pPr>
        <w:spacing/>
        <w:ind w:left="2160" w:hanging="360"/>
      </w:pPr>
      <w:rPr>
        <w:rFonts w:ascii="Wingdings" w:hAnsi="Wingdings" w:hint="default"/>
      </w:rPr>
    </w:lvl>
    <w:lvl w:ilvl="3">
      <w:start w:val="1"/>
      <w:numFmt w:val="bullet"/>
      <w:suff w:val="tab"/>
      <w:lvlText w:val=""/>
      <w:pPr>
        <w:spacing/>
        <w:ind w:left="2880" w:hanging="360"/>
      </w:pPr>
      <w:rPr>
        <w:rFonts w:ascii="Symbol" w:hAnsi="Symbol" w:hint="default"/>
      </w:rPr>
    </w:lvl>
    <w:lvl w:ilvl="4">
      <w:start w:val="1"/>
      <w:numFmt w:val="bullet"/>
      <w:suff w:val="tab"/>
      <w:lvlText w:val="o"/>
      <w:pPr>
        <w:spacing/>
        <w:ind w:left="3600" w:hanging="360"/>
      </w:pPr>
      <w:rPr>
        <w:rFonts w:ascii="Courier New" w:hAnsi="Courier New" w:cs="Courier New" w:hint="default"/>
      </w:rPr>
    </w:lvl>
    <w:lvl w:ilvl="5">
      <w:start w:val="1"/>
      <w:numFmt w:val="bullet"/>
      <w:suff w:val="tab"/>
      <w:lvlText w:val=""/>
      <w:pPr>
        <w:spacing/>
        <w:ind w:left="4320" w:hanging="360"/>
      </w:pPr>
      <w:rPr>
        <w:rFonts w:ascii="Wingdings" w:hAnsi="Wingdings" w:hint="default"/>
      </w:rPr>
    </w:lvl>
    <w:lvl w:ilvl="6">
      <w:start w:val="1"/>
      <w:numFmt w:val="bullet"/>
      <w:suff w:val="tab"/>
      <w:lvlText w:val=""/>
      <w:pPr>
        <w:spacing/>
        <w:ind w:left="5040" w:hanging="360"/>
      </w:pPr>
      <w:rPr>
        <w:rFonts w:ascii="Symbol" w:hAnsi="Symbol" w:hint="default"/>
      </w:rPr>
    </w:lvl>
    <w:lvl w:ilvl="7">
      <w:start w:val="1"/>
      <w:numFmt w:val="bullet"/>
      <w:suff w:val="tab"/>
      <w:lvlText w:val="o"/>
      <w:pPr>
        <w:spacing/>
        <w:ind w:left="5760" w:hanging="360"/>
      </w:pPr>
      <w:rPr>
        <w:rFonts w:ascii="Courier New" w:hAnsi="Courier New" w:cs="Courier New" w:hint="default"/>
      </w:rPr>
    </w:lvl>
    <w:lvl w:ilvl="8">
      <w:start w:val="1"/>
      <w:numFmt w:val="bullet"/>
      <w:suff w:val="tab"/>
      <w:lvlText w:val=""/>
      <w:pPr>
        <w:spacing/>
        <w:ind w:left="6480" w:hanging="360"/>
      </w:pPr>
      <w:rPr>
        <w:rFonts w:ascii="Wingdings" w:hAnsi="Wingdings" w:hint="default"/>
      </w:rPr>
    </w:lvl>
  </w:abstractNum>
  <w:abstractNum w:abstractNumId="5">
    <w:nsid w:val="587716D4"/>
    <w:lvl w:ilvl="0">
      <w:start w:val="1"/>
      <w:numFmt w:val="decimal"/>
      <w:suff w:val="tab"/>
      <w:lvlText w:val="%1."/>
      <w:pPr>
        <w:spacing/>
        <w:ind w:left="720" w:hanging="360"/>
      </w:pPr>
      <w:rPr>
        <w:b/>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6">
    <w:nsid w:val="72A864D0"/>
    <w:lvl w:ilvl="0">
      <w:start w:val="1"/>
      <w:numFmt w:val="lowerLetter"/>
      <w:suff w:val="tab"/>
      <w:lvlText w:val="%1)"/>
      <w:pPr>
        <w:spacing/>
        <w:ind w:left="720" w:hanging="360"/>
      </w:pPr>
      <w:rPr>
        <w:rFonts w:hint="default"/>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defaultTabStop w:val="708"/>
  <w:hyphenationZone w:val="425"/>
  <w:drawingGridHorizontalSpacing xmlns:w="http://schemas.openxmlformats.org/wordprocessingml/2006/main" w:val="110"/>
  <w:displayHorizontalDrawingGridEvery xmlns:w="http://schemas.openxmlformats.org/wordprocessingml/2006/main" w:val="2"/>
  <w:displayVerticalDrawingGridEvery xmlns:w="http://schemas.openxmlformats.org/wordprocessingml/2006/main" w:val="2"/>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1"/>
    <m:dispDef m:val="1"/>
    <m:lMargin m:val="0"/>
    <m:rMargin m:val="0"/>
    <m:defJc m:val="centerGroup"/>
    <m:wrapIndent m:val="1440"/>
    <m:intLim m:val="subSup"/>
    <m:naryLim m:val="undOvr"/>
  </m:mathPr>
  <w:themeFontLang w:val="hr-HR" w:bidi="ar-SA"/>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Times New Roman"/>
        <w:lang w:val="hr-HR" w:eastAsia="hr-HR" w:bidi="ar-SA"/>
      </w:rPr>
    </w:rPrDefault>
    <w:pPrDefault>
      <w:pPr>
        <w:spacing/>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noProof/>
      <w:sz w:val="22"/>
      <w:szCs w:val="22"/>
      <w:lang w:eastAsia="en-US"/>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eastAsia="Times New Roman"/>
      <w:b/>
      <w:bCs/>
      <w:noProof w:val="0"/>
      <w:sz w:val="24"/>
      <w:szCs w:val="24"/>
      <w:lang w:eastAsia="hr-HR"/>
    </w:rPr>
  </w:style>
  <w:style w:type="character" w:styleId="DefaultParagraphFont" w:default="1">
    <w:name w:val="Default Paragraph Font"/>
    <w:uiPriority w:val="1"/>
    <w:semiHidden/>
    <w:unhideWhenUsed/>
    <w:rPr/>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name w:val="No List"/>
    <w:uiPriority w:val="99"/>
    <w:semiHidden/>
    <w:unhideWhenUsed/>
  </w:style>
  <w:style w:type="character" w:styleId="Heading4Char" w:customStyle="1">
    <w:name w:val="Heading 4 Char"/>
    <w:basedOn w:val="DefaultParagraphFont"/>
    <w:link w:val="Heading4"/>
    <w:uiPriority w:val="9"/>
    <w:rPr>
      <w:rFonts w:ascii="Times New Roman" w:hAnsi="Times New Roman" w:eastAsia="Times New Roman" w:cs="Times New Roman"/>
      <w:b/>
      <w:bCs/>
      <w:sz w:val="24"/>
      <w:szCs w:val="24"/>
      <w:lang w:eastAsia="hr-HR"/>
    </w:rPr>
  </w:style>
  <w:style w:type="character" w:styleId="apple-converted-space" w:customStyle="1">
    <w:name w:val="apple-converted-space"/>
    <w:basedOn w:val="DefaultParagraphFont"/>
    <w:rPr/>
  </w:style>
  <w:style w:type="character" w:styleId="Strong">
    <w:name w:val="Strong"/>
    <w:basedOn w:val="DefaultParagraphFont"/>
    <w:uiPriority w:val="22"/>
    <w:qFormat/>
    <w:rPr>
      <w:b/>
      <w:bC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noProof/>
      <w:sz w:val="16"/>
      <w:szCs w:val="16"/>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954F72"/>
      <w:u w:val="single"/>
    </w:rPr>
  </w:style>
  <w:style w:type="paragraph" w:styleId="NoSpacing" w:customStyle="1">
    <w:name w:val="No Spacing"/>
    <w:uiPriority w:val="1"/>
    <w:qFormat/>
    <w:pPr>
      <w:spacing/>
    </w:pPr>
    <w:rPr>
      <w:noProof/>
      <w:sz w:val="22"/>
      <w:szCs w:val="22"/>
      <w:lang w:eastAsia="en-US"/>
    </w:rPr>
  </w:style>
  <w:style w:type="table" w:styleId="TableGrid">
    <w:name w:val="Table Grid"/>
    <w:basedOn w:val="TableNormal"/>
    <w:uiPriority w:val="39"/>
    <w:rPr>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customStyle="1">
    <w:name w:val="Unresolved Mention"/>
    <w:basedOn w:val="DefaultParagraphFont"/>
    <w:uiPriority w:val="99"/>
    <w:semiHidden/>
    <w:unhideWhenUsed/>
    <w:rPr>
      <w:color w:val="605E5C"/>
      <w:shd w:val="clear" w:color="auto" w:fill="E1DFDD"/>
    </w:rPr>
  </w:style>
</w:style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ntTable" Target="fontTable.xml" /><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7</TotalTime>
  <Pages>1</Pages>
  <Words>1522</Words>
  <Characters>8677</Characters>
  <Application>Microsoft Office Word</Application>
  <DocSecurity>0</DocSecurity>
  <Lines>72</Lines>
  <Paragraphs>20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RACUNOVODSTVO</dc:creator>
  <cp:keywords/>
  <cp:lastModifiedBy>Osnovna škola Selca</cp:lastModifiedBy>
  <cp:lastPrinted>2023-12-01T07:29:00Z</cp:lastPrinted>
  <cp:revision>7</cp:revision>
  <dcterms:created xsi:type="dcterms:W3CDTF">2026-10-08T10:44:00Z</dcterms:created>
  <dcterms:modified xsi:type="dcterms:W3CDTF">2026-10-12T10:36:00Z</dcterms:modified>
</cp:coreProperties>
</file>